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1836d8k.htm"/>
      <w:bookmarkStart w:id="1" w:name="ksd12183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August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LEGGETT &amp; PLATT,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Missouri</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001-07845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44-0324630</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1 Leggett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Carthage, MO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64836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417-358-8131</w:t>
      </w:r>
    </w:p>
    <w:p>
      <w:pPr>
        <w:pStyle w:val="TextBody"/>
        <w:bidi w:val="0"/>
        <w:spacing w:before="20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510" w:type="dxa"/>
        <w:jc w:val="left"/>
        <w:tblInd w:w="0" w:type="dxa"/>
        <w:tblLayout w:type="fixed"/>
        <w:tblCellMar>
          <w:top w:w="0" w:type="dxa"/>
          <w:left w:w="0" w:type="dxa"/>
          <w:bottom w:w="0" w:type="dxa"/>
          <w:right w:w="0" w:type="dxa"/>
        </w:tblCellMar>
      </w:tblPr>
      <w:tblGrid>
        <w:gridCol w:w="2990"/>
        <w:gridCol w:w="60"/>
        <w:gridCol w:w="740"/>
        <w:gridCol w:w="60"/>
        <w:gridCol w:w="2660"/>
      </w:tblGrid>
      <w:tr>
        <w:trPr/>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9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990" w:type="dxa"/>
            <w:tcBorders/>
            <w:vAlign w:val="center"/>
          </w:tcPr>
          <w:p>
            <w:pPr>
              <w:pStyle w:val="TableContents"/>
              <w:bidi w:val="0"/>
              <w:spacing w:before="0" w:after="283"/>
              <w:jc w:val="center"/>
              <w:rPr/>
            </w:pPr>
            <w:r>
              <w:rPr/>
              <w:t>Common Stock, $.01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LEG</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990" w:type="dxa"/>
        <w:jc w:val="left"/>
        <w:tblInd w:w="0" w:type="dxa"/>
        <w:tblLayout w:type="fixed"/>
        <w:tblCellMar>
          <w:top w:w="0" w:type="dxa"/>
          <w:left w:w="0" w:type="dxa"/>
          <w:bottom w:w="0" w:type="dxa"/>
          <w:right w:w="0" w:type="dxa"/>
        </w:tblCellMar>
      </w:tblPr>
      <w:tblGrid>
        <w:gridCol w:w="965"/>
        <w:gridCol w:w="4025"/>
      </w:tblGrid>
      <w:tr>
        <w:trPr/>
        <w:tc>
          <w:tcPr>
            <w:tcW w:w="96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pPr>
      <w:r>
        <w:rPr>
          <w:rFonts w:ascii="Times New Roman" w:hAnsi="Times New Roman"/>
          <w:sz w:val="20"/>
        </w:rPr>
        <w:t>On August 6, 2026, Leggett &amp; Platt, Incorporated (the “</w:t>
      </w:r>
      <w:r>
        <w:rPr>
          <w:rFonts w:ascii="Times New Roman" w:hAnsi="Times New Roman"/>
          <w:i/>
          <w:sz w:val="20"/>
        </w:rPr>
        <w:t>Company</w:t>
      </w:r>
      <w:r>
        <w:rPr>
          <w:rFonts w:ascii="Times New Roman" w:hAnsi="Times New Roman"/>
          <w:sz w:val="20"/>
        </w:rPr>
        <w:t>”) issued a press release announcing its financial results for the second quarter ending June 30, 2026 and related matters. The press release is attached as </w:t>
      </w:r>
      <w:hyperlink w:anchor="d121836dex991.htm">
        <w:r>
          <w:rPr>
            <w:rStyle w:val="InternetLink"/>
            <w:rFonts w:ascii="Times New Roman" w:hAnsi="Times New Roman"/>
            <w:sz w:val="20"/>
          </w:rPr>
          <w:t>Exhibit 99.1</w:t>
        </w:r>
      </w:hyperlink>
      <w:r>
        <w:rPr>
          <w:rFonts w:ascii="Times New Roman" w:hAnsi="Times New Roman"/>
          <w:sz w:val="20"/>
        </w:rPr>
        <w:t xml:space="preserve">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This information is being furnished and shall not be deemed “filed” for purposes of Section 18 of the Securities Exchange Act of 1934, as amended (the “</w:t>
      </w:r>
      <w:r>
        <w:rPr>
          <w:rFonts w:ascii="Times New Roman" w:hAnsi="Times New Roman"/>
          <w:i/>
          <w:sz w:val="20"/>
        </w:rPr>
        <w:t>Exchange Act</w:t>
      </w:r>
      <w:r>
        <w:rPr>
          <w:rFonts w:ascii="Times New Roman" w:hAnsi="Times New Roman"/>
          <w:sz w:val="20"/>
        </w:rPr>
        <w:t xml:space="preserve">”), or otherwise subject to the liabilities of that section. This information shall not be incorporated by reference into any document filed under the Securities Act of 1933, as amended, or the Exchange Act, except as shall be expressly set forth by specific reference in such filing.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contains the Company’s (i) Net Debt/Adjusted EBITDA (trailing twelve months) ratio; (ii) Adjusted EPS; (iii) Adjusted EBIT; (iv) Adjusted EBIT Margin; (v) EBITDA; (vi) EBITDA Margin; (vii) Adjusted EBITDA; (viii) Adjusted EBITDA Margin; (ix) Adjusted EBITDA (trailing twelve months); and (x) change in Organic Sales. </w:t>
      </w:r>
    </w:p>
    <w:p>
      <w:pPr>
        <w:pStyle w:val="TextBody"/>
        <w:bidi w:val="0"/>
        <w:spacing w:before="240" w:after="0"/>
        <w:jc w:val="left"/>
        <w:rPr>
          <w:rFonts w:ascii="Times New Roman" w:hAnsi="Times New Roman"/>
          <w:sz w:val="20"/>
        </w:rPr>
      </w:pPr>
      <w:r>
        <w:rPr>
          <w:rFonts w:ascii="Times New Roman" w:hAnsi="Times New Roman"/>
          <w:sz w:val="20"/>
        </w:rPr>
        <w:t xml:space="preserve">The press release also contains Segments’ (i) Adjusted EBIT; (ii) Adjusted EBIT Margin; (iii) Adjusted EBITDA; (iv) Adjusted EBITDA Margin; and (v) change in Organic Sales. </w:t>
      </w:r>
    </w:p>
    <w:p>
      <w:pPr>
        <w:pStyle w:val="TextBody"/>
        <w:bidi w:val="0"/>
        <w:spacing w:before="240" w:after="0"/>
        <w:jc w:val="left"/>
        <w:rPr>
          <w:rFonts w:ascii="Times New Roman" w:hAnsi="Times New Roman"/>
          <w:sz w:val="20"/>
        </w:rPr>
      </w:pPr>
      <w:r>
        <w:rPr>
          <w:rFonts w:ascii="Times New Roman" w:hAnsi="Times New Roman"/>
          <w:sz w:val="20"/>
        </w:rPr>
        <w:t xml:space="preserve">Company management believes the presentation of Net Debt/Adjusted EBITDA (trailing twelve months) provides investors a useful way to assess the time it would take the Company to pay off its debt, ignoring various factors including interest and taxes. Management uses these ratios as supplemental information to assess its ability to pay off its incurred debt. Because we may not be able to use our earnings to reduce our debt on a dollar-for-dollar basis, the presentation of Net Debt/Adjusted EBITDA (trailing twelve months) may have material limitations. </w:t>
      </w:r>
    </w:p>
    <w:p>
      <w:pPr>
        <w:pStyle w:val="TextBody"/>
        <w:bidi w:val="0"/>
        <w:spacing w:before="240" w:after="0"/>
        <w:jc w:val="left"/>
        <w:rPr>
          <w:rFonts w:ascii="Times New Roman" w:hAnsi="Times New Roman"/>
          <w:sz w:val="20"/>
        </w:rPr>
      </w:pPr>
      <w:r>
        <w:rPr>
          <w:rFonts w:ascii="Times New Roman" w:hAnsi="Times New Roman"/>
          <w:sz w:val="20"/>
        </w:rPr>
        <w:t xml:space="preserve">Company management believes the presentation of Company Adjusted EPS, Adjusted EBIT, Adjusted EBIT Margin, EBITDA, EBITDA Margin, Adjusted EBITDA, Adjusted EBITDA Margin, Adjusted EBITDA (trailing twelve months), and Segment Adjusted EBIT, Adjusted EBIT Margin, Adjusted EBITDA, and Adjusted EBITDA Margin is useful to investors in that it aids investors’ understanding of underlying operational profitability. Management uses these non-GAAP measures as supplemental information to assess the Company’s operational performance. </w:t>
      </w:r>
    </w:p>
    <w:p>
      <w:pPr>
        <w:pStyle w:val="TextBody"/>
        <w:bidi w:val="0"/>
        <w:spacing w:before="240" w:after="0"/>
        <w:jc w:val="left"/>
        <w:rPr>
          <w:rFonts w:ascii="Times New Roman" w:hAnsi="Times New Roman"/>
          <w:sz w:val="20"/>
        </w:rPr>
      </w:pPr>
      <w:r>
        <w:rPr>
          <w:rFonts w:ascii="Times New Roman" w:hAnsi="Times New Roman"/>
          <w:sz w:val="20"/>
        </w:rPr>
        <w:t xml:space="preserve">Organic Sales is calculated as trade sales excluding sales attributable to acquisitions and divestitures consummated within the last twelve months. Company management believes the presentation of change in Organic Sales is useful to investors and is used by management as supplemental information to analyze our underlying sales performance from period to period in our legacy businesses. </w:t>
      </w:r>
    </w:p>
    <w:p>
      <w:pPr>
        <w:pStyle w:val="TextBody"/>
        <w:bidi w:val="0"/>
        <w:spacing w:before="240" w:after="0"/>
        <w:jc w:val="left"/>
        <w:rPr>
          <w:rFonts w:ascii="Times New Roman" w:hAnsi="Times New Roman"/>
          <w:sz w:val="20"/>
        </w:rPr>
      </w:pPr>
      <w:r>
        <w:rPr>
          <w:rFonts w:ascii="Times New Roman" w:hAnsi="Times New Roman"/>
          <w:sz w:val="20"/>
        </w:rPr>
        <w:t xml:space="preserve">The above non-GAAP measures may not be comparable to similarly titled measures used by other companies and should not be considered a substitute for, or more meaningful than, their GAAP counterparts. For non-GAAP reconciliations, please refer to pages 6 and 7 of the press release.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pPr>
      <w:r>
        <w:rPr>
          <w:rFonts w:ascii="Times New Roman" w:hAnsi="Times New Roman"/>
          <w:sz w:val="20"/>
        </w:rPr>
        <w:t>The information provided in Item 2.02, including </w:t>
      </w:r>
      <w:hyperlink w:anchor="d121836dex991.htm">
        <w:r>
          <w:rPr>
            <w:rStyle w:val="InternetLink"/>
            <w:rFonts w:ascii="Times New Roman" w:hAnsi="Times New Roman"/>
            <w:sz w:val="20"/>
          </w:rPr>
          <w:t>Exhibit 99.1</w:t>
        </w:r>
      </w:hyperlink>
      <w:r>
        <w:rPr>
          <w:rFonts w:ascii="Times New Roman" w:hAnsi="Times New Roman"/>
          <w:sz w:val="20"/>
        </w:rPr>
        <w:t xml:space="preserve">, is incorporated herein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(d) </w:t>
      </w:r>
      <w:r>
        <w:rPr>
          <w:rFonts w:ascii="Times New Roman" w:hAnsi="Times New Roman"/>
          <w:b/>
          <w:sz w:val="20"/>
          <w:u w:val="single"/>
        </w:rPr>
        <w:t>Exhibits</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75"/>
        <w:gridCol w:w="120"/>
        <w:gridCol w:w="7610"/>
      </w:tblGrid>
      <w:tr>
        <w:trPr/>
        <w:tc>
          <w:tcPr>
            <w:tcW w:w="5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10" w:type="dxa"/>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57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hyperlink w:anchor="d121836dex991.htm">
              <w:r>
                <w:rPr>
                  <w:rStyle w:val="InternetLink"/>
                </w:rPr>
                <w:t xml:space="preserve">Press Release dated August 6, 2026 </w:t>
              </w:r>
            </w:hyperlink>
          </w:p>
        </w:tc>
      </w:tr>
      <w:tr>
        <w:trPr/>
        <w:tc>
          <w:tcPr>
            <w:tcW w:w="575" w:type="dxa"/>
            <w:tcBorders/>
            <w:vAlign w:val="center"/>
          </w:tcPr>
          <w:p>
            <w:pPr>
              <w:pStyle w:val="TableContents"/>
              <w:bidi w:val="0"/>
              <w:spacing w:before="0" w:after="283"/>
              <w:jc w:val="left"/>
              <w:rPr>
                <w:sz w:val="4"/>
                <w:szCs w:val="4"/>
              </w:rPr>
            </w:pPr>
            <w:r>
              <w:rPr>
                <w:sz w:val="4"/>
                <w:szCs w:val="4"/>
              </w:rPr>
            </w:r>
          </w:p>
        </w:tc>
        <w:tc>
          <w:tcPr>
            <w:tcW w:w="7730" w:type="dxa"/>
            <w:gridSpan w:val="2"/>
            <w:tcBorders/>
            <w:vAlign w:val="center"/>
          </w:tcPr>
          <w:p>
            <w:pPr>
              <w:pStyle w:val="TableContents"/>
              <w:bidi w:val="0"/>
              <w:spacing w:before="0" w:after="283"/>
              <w:jc w:val="left"/>
              <w:rPr>
                <w:sz w:val="4"/>
                <w:szCs w:val="4"/>
              </w:rPr>
            </w:pPr>
            <w:r>
              <w:rPr>
                <w:sz w:val="4"/>
                <w:szCs w:val="4"/>
              </w:rPr>
            </w:r>
          </w:p>
        </w:tc>
      </w:tr>
      <w:tr>
        <w:trPr/>
        <w:tc>
          <w:tcPr>
            <w:tcW w:w="57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2500" w:type="dxa"/>
        <w:jc w:val="left"/>
        <w:tblInd w:w="0" w:type="dxa"/>
        <w:tblLayout w:type="fixed"/>
        <w:tblCellMar>
          <w:top w:w="0" w:type="dxa"/>
          <w:left w:w="0" w:type="dxa"/>
          <w:bottom w:w="0" w:type="dxa"/>
          <w:right w:w="0" w:type="dxa"/>
        </w:tblCellMar>
      </w:tblPr>
      <w:tblGrid>
        <w:gridCol w:w="155"/>
        <w:gridCol w:w="2345"/>
      </w:tblGrid>
      <w:tr>
        <w:trPr/>
        <w:tc>
          <w:tcPr>
            <w:tcW w:w="155"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Denotes furnished herewith.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489" w:type="dxa"/>
        <w:jc w:val="left"/>
        <w:tblInd w:w="0" w:type="dxa"/>
        <w:tblLayout w:type="fixed"/>
        <w:tblCellMar>
          <w:top w:w="0" w:type="dxa"/>
          <w:left w:w="0" w:type="dxa"/>
          <w:bottom w:w="0" w:type="dxa"/>
          <w:right w:w="0" w:type="dxa"/>
        </w:tblCellMar>
      </w:tblPr>
      <w:tblGrid>
        <w:gridCol w:w="2075"/>
        <w:gridCol w:w="60"/>
        <w:gridCol w:w="60"/>
        <w:gridCol w:w="60"/>
        <w:gridCol w:w="489"/>
        <w:gridCol w:w="80"/>
        <w:gridCol w:w="3665"/>
      </w:tblGrid>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66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34" w:type="dxa"/>
            <w:gridSpan w:val="3"/>
            <w:tcBorders/>
            <w:vAlign w:val="center"/>
          </w:tcPr>
          <w:p>
            <w:pPr>
              <w:pStyle w:val="TableContents"/>
              <w:bidi w:val="0"/>
              <w:spacing w:before="0" w:after="283"/>
              <w:jc w:val="left"/>
              <w:rPr/>
            </w:pPr>
            <w:r>
              <w:rPr/>
              <w:t>LEGGETT &amp; PLATT, INCORPORATED</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549" w:type="dxa"/>
            <w:gridSpan w:val="2"/>
            <w:tcBorders/>
            <w:vAlign w:val="center"/>
          </w:tcPr>
          <w:p>
            <w:pPr>
              <w:pStyle w:val="TableContents"/>
              <w:bidi w:val="0"/>
              <w:spacing w:before="0" w:after="283"/>
              <w:jc w:val="left"/>
              <w:rPr>
                <w:sz w:val="4"/>
                <w:szCs w:val="4"/>
              </w:rPr>
            </w:pPr>
            <w:r>
              <w:rPr>
                <w:sz w:val="4"/>
                <w:szCs w:val="4"/>
              </w:rPr>
            </w:r>
          </w:p>
        </w:tc>
        <w:tc>
          <w:tcPr>
            <w:tcW w:w="3745" w:type="dxa"/>
            <w:gridSpan w:val="2"/>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left"/>
              <w:rPr/>
            </w:pPr>
            <w:r>
              <w:rPr/>
              <w:t> </w:t>
            </w:r>
          </w:p>
        </w:tc>
        <w:tc>
          <w:tcPr>
            <w:tcW w:w="366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Jennifer J. Davis</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center"/>
              <w:rPr>
                <w:b/>
              </w:rPr>
            </w:pPr>
            <w:r>
              <w:rPr>
                <w:b/>
              </w:rPr>
              <w:t>Jennifer J. Davis</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center"/>
              <w:rPr>
                <w:b/>
              </w:rPr>
            </w:pPr>
            <w:r>
              <w:rPr>
                <w:b/>
              </w:rPr>
              <w:t>Executive Vice President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283"/>
              <w:jc w:val="center"/>
              <w:rPr>
                <w:b/>
              </w:rPr>
            </w:pPr>
            <w:r>
              <w:rPr>
                <w:b/>
              </w:rPr>
              <w:t>General Counsel</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21836dex991.htm"/>
      <w:bookmarkStart w:id="3" w:name="ksd121836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
        <w:gridCol w:w="120"/>
        <w:gridCol w:w="2296"/>
        <w:gridCol w:w="120"/>
        <w:gridCol w:w="6827"/>
      </w:tblGrid>
      <w:tr>
        <w:trPr/>
        <w:tc>
          <w:tcPr>
            <w:tcW w:w="8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27" w:type="dxa"/>
            <w:tcBorders/>
            <w:vAlign w:val="center"/>
          </w:tcPr>
          <w:p>
            <w:pPr>
              <w:pStyle w:val="TableContents"/>
              <w:bidi w:val="0"/>
              <w:spacing w:before="0" w:after="283"/>
              <w:jc w:val="left"/>
              <w:rPr>
                <w:sz w:val="4"/>
                <w:szCs w:val="4"/>
              </w:rPr>
            </w:pPr>
            <w:r>
              <w:rPr>
                <w:sz w:val="4"/>
                <w:szCs w:val="4"/>
              </w:rPr>
            </w:r>
          </w:p>
        </w:tc>
      </w:tr>
      <w:tr>
        <w:trPr/>
        <w:tc>
          <w:tcPr>
            <w:tcW w:w="842"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296" w:type="dxa"/>
            <w:tcBorders/>
          </w:tcPr>
          <w:p>
            <w:pPr>
              <w:pStyle w:val="TableContents"/>
              <w:bidi w:val="0"/>
              <w:spacing w:before="0" w:after="283"/>
              <w:jc w:val="left"/>
              <w:rPr/>
            </w:pPr>
            <w:r>
              <w:rPr/>
              <w:drawing>
                <wp:inline distT="0" distB="0" distL="0" distR="0">
                  <wp:extent cx="5429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23875"/>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6827" w:type="dxa"/>
            <w:tcBorders/>
          </w:tcPr>
          <w:p>
            <w:pPr>
              <w:pStyle w:val="TableContents"/>
              <w:bidi w:val="0"/>
              <w:spacing w:before="0" w:after="283"/>
              <w:jc w:val="left"/>
              <w:rPr/>
            </w:pPr>
            <w:r>
              <w:rPr/>
              <w:drawing>
                <wp:inline distT="0" distB="0" distL="0" distR="0">
                  <wp:extent cx="2800350"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00350" cy="657225"/>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IMMEDIATE RELEASE: August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Leggett &amp; Platt Reports 2Q 2026 Results </w:t>
      </w:r>
    </w:p>
    <w:p>
      <w:pPr>
        <w:pStyle w:val="TextBody"/>
        <w:bidi w:val="0"/>
        <w:spacing w:before="240" w:after="0"/>
        <w:jc w:val="left"/>
        <w:rPr>
          <w:rFonts w:ascii="Times New Roman" w:hAnsi="Times New Roman"/>
          <w:sz w:val="20"/>
        </w:rPr>
      </w:pPr>
      <w:r>
        <w:rPr>
          <w:rFonts w:ascii="Times New Roman" w:hAnsi="Times New Roman"/>
          <w:sz w:val="20"/>
        </w:rPr>
        <w:t xml:space="preserve">Carthage, MO, August 6, 2026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2Q sales of $1.0 billion, a 6% decrease vs 2Q25, including a 5% decrease from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2Q EPS of $.33, 2Q adjusted1 EPS of $.39, a $.09 increase vs adjusted1 2Q25 EPS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President and CEO Karl Glassman commented, “We are pleased with how our teams managed through a challenging environment in the second quarter. Our employees remained focused on disciplined execution and cost management which, along with favorable items that we do not expect to repeat in future quarters, contributed to improved adjusted earnings. </w:t>
      </w:r>
    </w:p>
    <w:p>
      <w:pPr>
        <w:pStyle w:val="TextBody"/>
        <w:bidi w:val="0"/>
        <w:spacing w:before="240" w:after="0"/>
        <w:jc w:val="left"/>
        <w:rPr/>
      </w:pPr>
      <w:r>
        <w:rPr/>
        <w:t>“</w:t>
      </w:r>
      <w:r>
        <w:rPr>
          <w:rFonts w:ascii="Times New Roman" w:hAnsi="Times New Roman"/>
          <w:sz w:val="20"/>
        </w:rPr>
        <w:t xml:space="preserve">Bedding industry conditions remain challenged both by sluggish consumer activity and continued consolidations and bankruptcies across the value chain. We estimate that U.S. mattress market units declined by low double digits in the second quarter, similar to the declines we saw in the first quarter. In our Bedding Products segment, continued strong performance of our trade rod and wire business partially offset the decline from lower mattress demand. </w:t>
      </w:r>
    </w:p>
    <w:p>
      <w:pPr>
        <w:pStyle w:val="TextBody"/>
        <w:bidi w:val="0"/>
        <w:spacing w:before="240" w:after="0"/>
        <w:jc w:val="left"/>
        <w:rPr/>
      </w:pPr>
      <w:r>
        <w:rPr/>
        <w:t>“</w:t>
      </w:r>
      <w:r>
        <w:rPr>
          <w:rFonts w:ascii="Times New Roman" w:hAnsi="Times New Roman"/>
          <w:sz w:val="20"/>
        </w:rPr>
        <w:t xml:space="preserve">Across our other segments, demand remained soft in markets tied to housing and broader consumer spending as consumers were faced with additional uncertainty resulting from the war in the Middle East and higher gas prices. In Specialized Products, Automotive performed slightly below the market, which saw lower consumer demand across all regions. In Furniture, Flooring &amp; Textile Products, growth in Textiles offset lower demand in the remaining businesses, which are more directly exposed to U.S. residential spending, leading to a slight improvement in trade sales. </w:t>
      </w:r>
    </w:p>
    <w:p>
      <w:pPr>
        <w:pStyle w:val="TextBody"/>
        <w:bidi w:val="0"/>
        <w:spacing w:before="240" w:after="0"/>
        <w:jc w:val="left"/>
        <w:rPr/>
      </w:pPr>
      <w:r>
        <w:rPr/>
        <w:t>“</w:t>
      </w:r>
      <w:r>
        <w:rPr>
          <w:rFonts w:ascii="Times New Roman" w:hAnsi="Times New Roman"/>
          <w:sz w:val="20"/>
        </w:rPr>
        <w:t xml:space="preserve">As we look forward, we remain focused on executing our strategic priorities while expecting ongoing macroeconomic headwinds to temper consumer demand across most of our businesses for the remainder of the year. </w:t>
      </w:r>
    </w:p>
    <w:p>
      <w:pPr>
        <w:pStyle w:val="TextBody"/>
        <w:bidi w:val="0"/>
        <w:spacing w:before="240" w:after="0"/>
        <w:jc w:val="left"/>
        <w:rPr/>
      </w:pPr>
      <w:r>
        <w:rPr/>
        <w:t>“</w:t>
      </w:r>
      <w:r>
        <w:rPr>
          <w:rFonts w:ascii="Times New Roman" w:hAnsi="Times New Roman"/>
          <w:sz w:val="20"/>
        </w:rPr>
        <w:t xml:space="preserve">Finally, we continue to progress towards the planned merger with Somnigroup. As previously announced, the waiting period under the HSR Antitrust Improvements Act expired in June. We anticipate the transaction to close upon satisfaction of the remaining closing conditions, including Leggett &amp; Platt shareholder approval at the special meeting planned for August 20th and the remaining required regulatory approvals. As previously stated, we believe this combination with a valued long–standing customer will create a leading global company—providing compelling strategic and financial value for our customers, employees, and the Leggett &amp; Platt shareholders.”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SECOND QUARTER RESULTS </w:t>
      </w:r>
    </w:p>
    <w:p>
      <w:pPr>
        <w:pStyle w:val="TextBody"/>
        <w:bidi w:val="0"/>
        <w:spacing w:before="120" w:after="0"/>
        <w:jc w:val="left"/>
        <w:rPr>
          <w:rFonts w:ascii="Times New Roman" w:hAnsi="Times New Roman"/>
          <w:sz w:val="20"/>
        </w:rPr>
      </w:pPr>
      <w:r>
        <w:rPr>
          <w:rFonts w:ascii="Times New Roman" w:hAnsi="Times New Roman"/>
          <w:b/>
          <w:sz w:val="20"/>
        </w:rPr>
        <w:t xml:space="preserve">Second quarter sales </w:t>
      </w:r>
      <w:r>
        <w:rPr>
          <w:rFonts w:ascii="Times New Roman" w:hAnsi="Times New Roman"/>
          <w:sz w:val="20"/>
        </w:rPr>
        <w:t xml:space="preserve">were $1.0 billion, a 6% decrease versus second quarter last year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2025 divestitures decreased sales 5%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attached tables for Non-GAAP Reconciliations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Organic sales2 were down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Volume was down 4%, primarily from continued weak demand across most of our end markets, retailer merchandising changes in Adjustable Bed, and the decision during the fourth quarter of 2025 to walk away from a financially challenged customer in U.S. Spring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Raw material-related selling price increases added 2% to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benefit increased sales 1% </w:t>
            </w:r>
          </w:p>
        </w:tc>
      </w:tr>
    </w:tbl>
    <w:p>
      <w:pPr>
        <w:pStyle w:val="TextBody"/>
        <w:bidi w:val="0"/>
        <w:spacing w:before="240" w:after="0"/>
        <w:jc w:val="left"/>
        <w:rPr>
          <w:rFonts w:ascii="Times New Roman" w:hAnsi="Times New Roman"/>
          <w:sz w:val="20"/>
        </w:rPr>
      </w:pPr>
      <w:r>
        <w:rPr>
          <w:rFonts w:ascii="Times New Roman" w:hAnsi="Times New Roman"/>
          <w:b/>
          <w:sz w:val="20"/>
        </w:rPr>
        <w:t>Second quarter EBIT</w:t>
      </w:r>
      <w:r>
        <w:rPr>
          <w:rFonts w:ascii="Times New Roman" w:hAnsi="Times New Roman"/>
          <w:sz w:val="20"/>
        </w:rPr>
        <w:t xml:space="preserve"> was $80 million, down from $90 million in second quarter 2025. </w:t>
      </w:r>
      <w:r>
        <w:rPr>
          <w:rFonts w:ascii="Times New Roman" w:hAnsi="Times New Roman"/>
          <w:b/>
          <w:sz w:val="20"/>
        </w:rPr>
        <w:t>Adjusted1</w:t>
      </w:r>
      <w:r>
        <w:rPr>
          <w:rFonts w:ascii="Times New Roman" w:hAnsi="Times New Roman"/>
          <w:sz w:val="20"/>
        </w:rPr>
        <w:t xml:space="preserve"> </w:t>
      </w:r>
      <w:r>
        <w:rPr>
          <w:rFonts w:ascii="Times New Roman" w:hAnsi="Times New Roman"/>
          <w:b/>
          <w:sz w:val="20"/>
        </w:rPr>
        <w:t xml:space="preserve">EBIT </w:t>
      </w:r>
      <w:r>
        <w:rPr>
          <w:rFonts w:ascii="Times New Roman" w:hAnsi="Times New Roman"/>
          <w:sz w:val="20"/>
        </w:rPr>
        <w:t xml:space="preserve">was $89 million, up from second quarter 2025 adjusted1 EBIT of $76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Adjusted1 EBIT increased primarily from metal margin expansion, restructuring benefit, and other favorable items, most of which are not expected to repeat in future quarters. </w:t>
            </w:r>
            <w:r>
              <w:rPr>
                <w:rFonts w:ascii="Times New Roman" w:hAnsi="Times New Roman"/>
                <w:b/>
                <w:sz w:val="20"/>
              </w:rPr>
              <w:t>EBIT margin</w:t>
            </w:r>
            <w:r>
              <w:rPr>
                <w:rFonts w:ascii="Times New Roman" w:hAnsi="Times New Roman"/>
                <w:sz w:val="20"/>
              </w:rPr>
              <w:t xml:space="preserve"> was 8.0%, down from 8.5% in the second quarter of 2025, and </w:t>
            </w:r>
            <w:r>
              <w:rPr>
                <w:rFonts w:ascii="Times New Roman" w:hAnsi="Times New Roman"/>
                <w:b/>
                <w:sz w:val="20"/>
              </w:rPr>
              <w:t>adjusted1</w:t>
            </w:r>
            <w:r>
              <w:rPr>
                <w:rFonts w:ascii="Times New Roman" w:hAnsi="Times New Roman"/>
                <w:sz w:val="20"/>
              </w:rPr>
              <w:t xml:space="preserve"> </w:t>
            </w:r>
            <w:r>
              <w:rPr>
                <w:rFonts w:ascii="Times New Roman" w:hAnsi="Times New Roman"/>
                <w:b/>
                <w:sz w:val="20"/>
              </w:rPr>
              <w:t>EBIT margin</w:t>
            </w:r>
            <w:r>
              <w:rPr>
                <w:rFonts w:ascii="Times New Roman" w:hAnsi="Times New Roman"/>
                <w:sz w:val="20"/>
              </w:rPr>
              <w:t xml:space="preserve"> was 8.9%, up from 7.1%. </w:t>
            </w:r>
          </w:p>
        </w:tc>
      </w:tr>
    </w:tbl>
    <w:p>
      <w:pPr>
        <w:pStyle w:val="TextBody"/>
        <w:bidi w:val="0"/>
        <w:spacing w:before="240" w:after="0"/>
        <w:jc w:val="left"/>
        <w:rPr>
          <w:rFonts w:ascii="Times New Roman" w:hAnsi="Times New Roman"/>
          <w:sz w:val="20"/>
        </w:rPr>
      </w:pPr>
      <w:r>
        <w:rPr>
          <w:rFonts w:ascii="Times New Roman" w:hAnsi="Times New Roman"/>
          <w:b/>
          <w:sz w:val="20"/>
        </w:rPr>
        <w:t>Second quarter EPS</w:t>
      </w:r>
      <w:r>
        <w:rPr>
          <w:rFonts w:ascii="Times New Roman" w:hAnsi="Times New Roman"/>
          <w:sz w:val="20"/>
        </w:rPr>
        <w:t xml:space="preserve"> was $.33, a $.05 decrease versus second quarter 2025 EPS of $.38. </w:t>
      </w:r>
      <w:r>
        <w:rPr>
          <w:rFonts w:ascii="Times New Roman" w:hAnsi="Times New Roman"/>
          <w:b/>
          <w:sz w:val="20"/>
        </w:rPr>
        <w:t>Second quarter</w:t>
      </w:r>
      <w:r>
        <w:rPr>
          <w:rFonts w:ascii="Times New Roman" w:hAnsi="Times New Roman"/>
          <w:sz w:val="20"/>
        </w:rPr>
        <w:t xml:space="preserve"> </w:t>
      </w:r>
      <w:r>
        <w:rPr>
          <w:rFonts w:ascii="Times New Roman" w:hAnsi="Times New Roman"/>
          <w:b/>
          <w:sz w:val="20"/>
        </w:rPr>
        <w:t>adjusted1</w:t>
      </w:r>
      <w:r>
        <w:rPr>
          <w:rFonts w:ascii="Times New Roman" w:hAnsi="Times New Roman"/>
          <w:sz w:val="20"/>
        </w:rPr>
        <w:t xml:space="preserve"> </w:t>
      </w:r>
      <w:r>
        <w:rPr>
          <w:rFonts w:ascii="Times New Roman" w:hAnsi="Times New Roman"/>
          <w:b/>
          <w:sz w:val="20"/>
        </w:rPr>
        <w:t xml:space="preserve">EPS </w:t>
      </w:r>
      <w:r>
        <w:rPr>
          <w:rFonts w:ascii="Times New Roman" w:hAnsi="Times New Roman"/>
          <w:sz w:val="20"/>
        </w:rPr>
        <w:t xml:space="preserve">was $.39, up $.09 versus second quarter 2025 adjusted1 EPS of $.30. </w:t>
      </w:r>
    </w:p>
    <w:p>
      <w:pPr>
        <w:pStyle w:val="TextBody"/>
        <w:bidi w:val="0"/>
        <w:spacing w:before="0" w:after="0"/>
        <w:jc w:val="left"/>
        <w:rPr/>
      </w:pPr>
      <w:r>
        <w:rPr/>
        <w:t> </w:t>
      </w:r>
    </w:p>
    <w:tbl>
      <w:tblPr>
        <w:tblW w:w="10395" w:type="dxa"/>
        <w:jc w:val="center"/>
        <w:tblInd w:w="0" w:type="dxa"/>
        <w:tblLayout w:type="fixed"/>
        <w:tblCellMar>
          <w:top w:w="0" w:type="dxa"/>
          <w:left w:w="0" w:type="dxa"/>
          <w:bottom w:w="0" w:type="dxa"/>
          <w:right w:w="0" w:type="dxa"/>
        </w:tblCellMar>
      </w:tblPr>
      <w:tblGrid>
        <w:gridCol w:w="1175"/>
        <w:gridCol w:w="120"/>
        <w:gridCol w:w="150"/>
        <w:gridCol w:w="410"/>
        <w:gridCol w:w="155"/>
        <w:gridCol w:w="60"/>
        <w:gridCol w:w="150"/>
        <w:gridCol w:w="410"/>
        <w:gridCol w:w="155"/>
        <w:gridCol w:w="60"/>
        <w:gridCol w:w="150"/>
        <w:gridCol w:w="410"/>
        <w:gridCol w:w="60"/>
        <w:gridCol w:w="120"/>
        <w:gridCol w:w="150"/>
        <w:gridCol w:w="410"/>
        <w:gridCol w:w="155"/>
        <w:gridCol w:w="60"/>
        <w:gridCol w:w="150"/>
        <w:gridCol w:w="410"/>
        <w:gridCol w:w="60"/>
        <w:gridCol w:w="120"/>
        <w:gridCol w:w="150"/>
        <w:gridCol w:w="410"/>
        <w:gridCol w:w="60"/>
        <w:gridCol w:w="120"/>
        <w:gridCol w:w="150"/>
        <w:gridCol w:w="410"/>
        <w:gridCol w:w="155"/>
        <w:gridCol w:w="60"/>
        <w:gridCol w:w="150"/>
        <w:gridCol w:w="410"/>
        <w:gridCol w:w="60"/>
        <w:gridCol w:w="120"/>
        <w:gridCol w:w="165"/>
        <w:gridCol w:w="395"/>
        <w:gridCol w:w="155"/>
        <w:gridCol w:w="60"/>
        <w:gridCol w:w="150"/>
        <w:gridCol w:w="410"/>
        <w:gridCol w:w="155"/>
        <w:gridCol w:w="60"/>
        <w:gridCol w:w="146"/>
        <w:gridCol w:w="414"/>
        <w:gridCol w:w="155"/>
        <w:gridCol w:w="60"/>
        <w:gridCol w:w="146"/>
        <w:gridCol w:w="414"/>
        <w:gridCol w:w="155"/>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945"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Second Quarter Results 1</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95" w:type="dxa"/>
            <w:gridSpan w:val="38"/>
            <w:tcBorders>
              <w:bottom w:val="single" w:sz="8" w:space="0" w:color="000000"/>
            </w:tcBorders>
            <w:tcMar>
              <w:bottom w:w="28" w:type="dxa"/>
            </w:tcMar>
            <w:vAlign w:val="bottom"/>
          </w:tcPr>
          <w:p>
            <w:pPr>
              <w:pStyle w:val="TableContents"/>
              <w:bidi w:val="0"/>
              <w:spacing w:before="0" w:after="283"/>
              <w:jc w:val="center"/>
              <w:rPr>
                <w:b/>
              </w:rPr>
            </w:pPr>
            <w:r>
              <w:rPr>
                <w:b/>
              </w:rPr>
              <w:t xml:space="preserve">EBIT (millions)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EPS</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35" w:type="dxa"/>
            <w:gridSpan w:val="6"/>
            <w:tcBorders>
              <w:bottom w:val="single" w:sz="8" w:space="0" w:color="000000"/>
            </w:tcBorders>
            <w:tcMar>
              <w:bottom w:w="28" w:type="dxa"/>
            </w:tcMar>
            <w:vAlign w:val="bottom"/>
          </w:tcPr>
          <w:p>
            <w:pPr>
              <w:pStyle w:val="TableContents"/>
              <w:bidi w:val="0"/>
              <w:spacing w:before="0" w:after="283"/>
              <w:jc w:val="center"/>
              <w:rPr/>
            </w:pPr>
            <w:r>
              <w:rPr/>
              <w:t>Bedding</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6"/>
            <w:tcBorders>
              <w:bottom w:val="single" w:sz="8" w:space="0" w:color="000000"/>
            </w:tcBorders>
            <w:tcMar>
              <w:bottom w:w="28" w:type="dxa"/>
            </w:tcMar>
            <w:vAlign w:val="bottom"/>
          </w:tcPr>
          <w:p>
            <w:pPr>
              <w:pStyle w:val="TableContents"/>
              <w:bidi w:val="0"/>
              <w:spacing w:before="0" w:after="283"/>
              <w:jc w:val="center"/>
              <w:rPr/>
            </w:pPr>
            <w:r>
              <w:rPr/>
              <w:t>Specialized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0" w:type="dxa"/>
            <w:gridSpan w:val="6"/>
            <w:tcBorders>
              <w:bottom w:val="single" w:sz="8" w:space="0" w:color="000000"/>
            </w:tcBorders>
            <w:tcMar>
              <w:bottom w:w="28" w:type="dxa"/>
            </w:tcMar>
            <w:vAlign w:val="bottom"/>
          </w:tcPr>
          <w:p>
            <w:pPr>
              <w:pStyle w:val="TableContents"/>
              <w:bidi w:val="0"/>
              <w:spacing w:before="0" w:after="283"/>
              <w:jc w:val="center"/>
              <w:rPr/>
            </w:pPr>
            <w:r>
              <w:rPr/>
              <w:t>FF&amp;T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35" w:type="dxa"/>
            <w:gridSpan w:val="6"/>
            <w:tcBorders>
              <w:bottom w:val="single" w:sz="8" w:space="0" w:color="000000"/>
            </w:tcBorders>
            <w:tcMar>
              <w:bottom w:w="28" w:type="dxa"/>
            </w:tcMar>
            <w:vAlign w:val="bottom"/>
          </w:tcPr>
          <w:p>
            <w:pPr>
              <w:pStyle w:val="TableContents"/>
              <w:bidi w:val="0"/>
              <w:spacing w:before="0" w:after="283"/>
              <w:jc w:val="center"/>
              <w:rPr/>
            </w:pPr>
            <w:r>
              <w:rPr/>
              <w:t>Other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35" w:type="dxa"/>
            <w:gridSpan w:val="6"/>
            <w:tcBorders>
              <w:bottom w:val="single" w:sz="8" w:space="0" w:color="000000"/>
            </w:tcBorders>
            <w:tcMar>
              <w:bottom w:w="28" w:type="dxa"/>
            </w:tcMar>
            <w:vAlign w:val="bottom"/>
          </w:tcPr>
          <w:p>
            <w:pPr>
              <w:pStyle w:val="TableContents"/>
              <w:bidi w:val="0"/>
              <w:spacing w:before="0" w:after="283"/>
              <w:jc w:val="center"/>
              <w:rPr/>
            </w:pPr>
            <w:r>
              <w:rPr/>
              <w:t>Total</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5" w:type="dxa"/>
            <w:gridSpan w:val="6"/>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pPr>
            <w:r>
              <w:rPr/>
              <w:t>2Q25</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Reported results</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19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29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(10</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395" w:type="dxa"/>
            <w:tcBorders/>
            <w:shd w:fill="CCEEFF" w:val="clear"/>
            <w:vAlign w:val="bottom"/>
          </w:tcPr>
          <w:p>
            <w:pPr>
              <w:pStyle w:val="TableContents"/>
              <w:bidi w:val="0"/>
              <w:spacing w:before="0" w:after="283"/>
              <w:jc w:val="right"/>
              <w:rPr>
                <w:b/>
              </w:rPr>
            </w:pPr>
            <w:r>
              <w:rPr>
                <w:b/>
              </w:rPr>
              <w:t>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414" w:type="dxa"/>
            <w:tcBorders/>
            <w:shd w:fill="CCEEFF" w:val="clear"/>
            <w:vAlign w:val="bottom"/>
          </w:tcPr>
          <w:p>
            <w:pPr>
              <w:pStyle w:val="TableContents"/>
              <w:bidi w:val="0"/>
              <w:spacing w:before="0" w:after="283"/>
              <w:jc w:val="right"/>
              <w:rPr>
                <w:b/>
              </w:rPr>
            </w:pPr>
            <w:r>
              <w:rPr>
                <w:b/>
              </w:rPr>
              <w:t>.33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414" w:type="dxa"/>
            <w:tcBorders/>
            <w:shd w:fill="CCEEFF" w:val="clear"/>
            <w:vAlign w:val="bottom"/>
          </w:tcPr>
          <w:p>
            <w:pPr>
              <w:pStyle w:val="TableContents"/>
              <w:bidi w:val="0"/>
              <w:spacing w:before="0" w:after="283"/>
              <w:jc w:val="right"/>
              <w:rPr>
                <w:b/>
              </w:rPr>
            </w:pPr>
            <w:r>
              <w:rPr>
                <w:b/>
              </w:rPr>
              <w:t>.38</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Adjustment items:</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sz w:val="4"/>
                <w:szCs w:val="4"/>
              </w:rPr>
            </w:pPr>
            <w:r>
              <w:rPr>
                <w:sz w:val="4"/>
                <w:szCs w:val="4"/>
              </w:rPr>
            </w:r>
          </w:p>
        </w:tc>
        <w:tc>
          <w:tcPr>
            <w:tcW w:w="4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real estate</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restructuring-related, and impairment charges</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r>
      <w:tr>
        <w:trPr/>
        <w:tc>
          <w:tcPr>
            <w:tcW w:w="11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Somnigroup merger costs</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4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adjustments</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b/>
              </w:rPr>
            </w:pPr>
            <w:r>
              <w:rPr>
                <w:b/>
              </w:rPr>
              <w:t>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right"/>
              <w:rPr>
                <w:b/>
              </w:rPr>
            </w:pPr>
            <w:r>
              <w:rPr>
                <w:b/>
              </w:rPr>
              <w:t>(15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b/>
              </w:rPr>
            </w:pPr>
            <w:r>
              <w:rPr>
                <w:b/>
              </w:rPr>
              <w:t>.06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14" w:type="dxa"/>
            <w:tcBorders/>
            <w:vAlign w:val="bottom"/>
          </w:tcPr>
          <w:p>
            <w:pPr>
              <w:pStyle w:val="TableContents"/>
              <w:bidi w:val="0"/>
              <w:spacing w:before="0" w:after="283"/>
              <w:jc w:val="right"/>
              <w:rPr>
                <w:b/>
              </w:rPr>
            </w:pPr>
            <w:r>
              <w:rPr>
                <w:b/>
              </w:rPr>
              <w:t>(.08</w:t>
            </w:r>
          </w:p>
        </w:tc>
        <w:tc>
          <w:tcPr>
            <w:tcW w:w="155" w:type="dxa"/>
            <w:tcBorders/>
            <w:vAlign w:val="bottom"/>
          </w:tcPr>
          <w:p>
            <w:pPr>
              <w:pStyle w:val="TableContents"/>
              <w:bidi w:val="0"/>
              <w:spacing w:before="0" w:after="283"/>
              <w:jc w:val="left"/>
              <w:rPr>
                <w:b/>
              </w:rPr>
            </w:pPr>
            <w:r>
              <w:rPr>
                <w:b/>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results</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22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30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b/>
              </w:rPr>
            </w:pPr>
            <w:r>
              <w:rPr>
                <w:b/>
              </w:rPr>
              <w:t>$</w:t>
            </w:r>
          </w:p>
        </w:tc>
        <w:tc>
          <w:tcPr>
            <w:tcW w:w="395" w:type="dxa"/>
            <w:tcBorders/>
            <w:shd w:fill="CCEEFF" w:val="clear"/>
            <w:vAlign w:val="bottom"/>
          </w:tcPr>
          <w:p>
            <w:pPr>
              <w:pStyle w:val="TableContents"/>
              <w:bidi w:val="0"/>
              <w:spacing w:before="0" w:after="283"/>
              <w:jc w:val="right"/>
              <w:rPr>
                <w:b/>
              </w:rPr>
            </w:pPr>
            <w:r>
              <w:rPr>
                <w:b/>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b/>
              </w:rPr>
            </w:pPr>
            <w:r>
              <w:rPr>
                <w:b/>
              </w:rPr>
              <w:t>$</w:t>
            </w:r>
          </w:p>
        </w:tc>
        <w:tc>
          <w:tcPr>
            <w:tcW w:w="410" w:type="dxa"/>
            <w:tcBorders/>
            <w:shd w:fill="CCEEFF" w:val="clear"/>
            <w:vAlign w:val="bottom"/>
          </w:tcPr>
          <w:p>
            <w:pPr>
              <w:pStyle w:val="TableContents"/>
              <w:bidi w:val="0"/>
              <w:spacing w:before="0" w:after="283"/>
              <w:jc w:val="right"/>
              <w:rPr>
                <w:b/>
              </w:rPr>
            </w:pPr>
            <w:r>
              <w:rPr>
                <w:b/>
              </w:rPr>
              <w:t>76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414" w:type="dxa"/>
            <w:tcBorders/>
            <w:shd w:fill="CCEEFF" w:val="clear"/>
            <w:vAlign w:val="bottom"/>
          </w:tcPr>
          <w:p>
            <w:pPr>
              <w:pStyle w:val="TableContents"/>
              <w:bidi w:val="0"/>
              <w:spacing w:before="0" w:after="283"/>
              <w:jc w:val="right"/>
              <w:rPr>
                <w:b/>
              </w:rPr>
            </w:pPr>
            <w:r>
              <w:rPr>
                <w:b/>
              </w:rPr>
              <w:t>.39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b/>
              </w:rPr>
            </w:pPr>
            <w:r>
              <w:rPr>
                <w:b/>
              </w:rPr>
              <w:t>$</w:t>
            </w:r>
          </w:p>
        </w:tc>
        <w:tc>
          <w:tcPr>
            <w:tcW w:w="414" w:type="dxa"/>
            <w:tcBorders/>
            <w:shd w:fill="CCEEFF" w:val="clear"/>
            <w:vAlign w:val="bottom"/>
          </w:tcPr>
          <w:p>
            <w:pPr>
              <w:pStyle w:val="TableContents"/>
              <w:bidi w:val="0"/>
              <w:spacing w:before="0" w:after="283"/>
              <w:jc w:val="right"/>
              <w:rPr>
                <w:b/>
              </w:rPr>
            </w:pPr>
            <w:r>
              <w:rPr>
                <w:b/>
              </w:rPr>
              <w:t>.30</w:t>
            </w:r>
          </w:p>
        </w:tc>
        <w:tc>
          <w:tcPr>
            <w:tcW w:w="155" w:type="dxa"/>
            <w:tcBorders/>
            <w:shd w:fill="CCEEFF" w:val="clear"/>
            <w:vAlign w:val="bottom"/>
          </w:tcPr>
          <w:p>
            <w:pPr>
              <w:pStyle w:val="TableContents"/>
              <w:bidi w:val="0"/>
              <w:spacing w:before="0" w:after="283"/>
              <w:jc w:val="left"/>
              <w:rPr/>
            </w:pPr>
            <w:r>
              <w:rPr/>
              <w:t> </w:t>
            </w:r>
          </w:p>
        </w:tc>
      </w:tr>
      <w:tr>
        <w:trPr/>
        <w:tc>
          <w:tcPr>
            <w:tcW w:w="117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39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4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Calculations impacted by rounding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DEBT AND CASH FLOW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Net Debt</w:t>
            </w:r>
            <w:r>
              <w:rPr>
                <w:rFonts w:ascii="Times New Roman" w:hAnsi="Times New Roman"/>
                <w:sz w:val="20"/>
              </w:rPr>
              <w:t xml:space="preserve">1 was 2.6x trailing 12-month adjusted EBITDA1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Total Debt </w:t>
            </w:r>
            <w:r>
              <w:rPr>
                <w:rFonts w:ascii="Times New Roman" w:hAnsi="Times New Roman"/>
                <w:sz w:val="20"/>
              </w:rPr>
              <w:t xml:space="preserve">at June 30 was $1.5 billion in three tranches of long-term bonds at $500 million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Operating cash flow</w:t>
            </w:r>
            <w:r>
              <w:rPr>
                <w:rFonts w:ascii="Times New Roman" w:hAnsi="Times New Roman"/>
                <w:sz w:val="20"/>
              </w:rPr>
              <w:t xml:space="preserve"> was $46 million in the second quarter, a decrease of $38 million versus second quarter 2025, reflecting an expected larger investment in working capital and lower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Capital expenditures</w:t>
            </w:r>
            <w:r>
              <w:rPr>
                <w:rFonts w:ascii="Times New Roman" w:hAnsi="Times New Roman"/>
                <w:sz w:val="20"/>
              </w:rPr>
              <w:t xml:space="preserve"> were $21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Dividends </w:t>
            </w:r>
            <w:r>
              <w:rPr>
                <w:rFonts w:ascii="Times New Roman" w:hAnsi="Times New Roman"/>
                <w:sz w:val="20"/>
              </w:rPr>
              <w:t xml:space="preserve">were $7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May, Leggett &amp; Platt’s Board of Directors declared a second quarter dividend of $.05 per share, flat versus last year’s second quarter dividend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Leggett &amp; Platt’s Board of Directors declared a third quarter dividend of $.05 per share, flat versus last year’s third quarter dividend. The dividend will be paid on August 24, 2026.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sales excluding acquisitions/divestitures in the last 12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u w:val="single"/>
        </w:rPr>
        <w:t>SEGMENT RESULTS</w:t>
      </w:r>
      <w:r>
        <w:rPr>
          <w:rFonts w:ascii="Times New Roman" w:hAnsi="Times New Roman"/>
          <w:b/>
          <w:sz w:val="20"/>
        </w:rPr>
        <w:t xml:space="preserve"> – Second Quarter 2026 (versus 2Q 2025) </w:t>
      </w:r>
    </w:p>
    <w:p>
      <w:pPr>
        <w:pStyle w:val="TextBody"/>
        <w:bidi w:val="0"/>
        <w:spacing w:before="120" w:after="0"/>
        <w:jc w:val="left"/>
        <w:rPr>
          <w:rFonts w:ascii="Times New Roman" w:hAnsi="Times New Roman"/>
          <w:sz w:val="20"/>
        </w:rPr>
      </w:pPr>
      <w:r>
        <w:rPr>
          <w:rFonts w:ascii="Times New Roman" w:hAnsi="Times New Roman"/>
          <w:i/>
          <w:sz w:val="20"/>
        </w:rPr>
        <w:t>Bedding Products</w:t>
      </w:r>
      <w:r>
        <w:rPr>
          <w:rFonts w:ascii="Times New Roman" w:hAnsi="Times New Roman"/>
          <w:sz w:val="20"/>
        </w:rPr>
        <w:t xml:space="preserv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sales decreased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Volume decreased 7%, primarily due to retailer merchandising changes and lower volume with a certain customer in Adjustable Bed, demand softness in U.S. and European bedding markets, and the decision during the fourth quarter of 2025 to walk away from a financially challenged customer in U.S. Spring. These declines were partially offset by higher trade rod and wire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Raw material-related selling price increases and currency benefit added 6% to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increased $15 million and adjusted1 EBIT increased $24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Adjusted1 EBIT increased primarily from metal margin expansion, favorable sales mix, temporary price-cost timing benefit in Specialty Foam, and restructuring benefit. These increases were partially offset by lower volume.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believe U.S. mattress market units were down low double digits in the second quarter </w:t>
            </w:r>
          </w:p>
        </w:tc>
      </w:tr>
    </w:tbl>
    <w:p>
      <w:pPr>
        <w:pStyle w:val="TextBody"/>
        <w:bidi w:val="0"/>
        <w:spacing w:before="240" w:after="0"/>
        <w:jc w:val="left"/>
        <w:rPr>
          <w:rFonts w:ascii="Times New Roman" w:hAnsi="Times New Roman"/>
          <w:sz w:val="20"/>
        </w:rPr>
      </w:pPr>
      <w:r>
        <w:rPr>
          <w:rFonts w:ascii="Times New Roman" w:hAnsi="Times New Roman"/>
          <w:i/>
          <w:sz w:val="20"/>
        </w:rPr>
        <w:t>Specialized Products</w:t>
      </w:r>
      <w:r>
        <w:rPr>
          <w:rFonts w:ascii="Times New Roman" w:hAnsi="Times New Roman"/>
          <w:sz w:val="20"/>
        </w:rPr>
        <w:t xml:space="preserv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sales decreased 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2025 divestiture of Aerospace reduced sales 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Volume decreased 4% from softer market demand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benefit increased sales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decreased $20 million and adjusted1 EBIT decreased $15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Adjusted1 EBIT decreased primarily from earnings associated with the divested Aerospace business, currency impact, and lower volume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Automotive volume was slightly below major market production in the quarter, driven by underperformance in Asia partially offset by outperformance in Europe and North America </w:t>
            </w:r>
          </w:p>
        </w:tc>
      </w:tr>
    </w:tbl>
    <w:p>
      <w:pPr>
        <w:pStyle w:val="TextBody"/>
        <w:bidi w:val="0"/>
        <w:spacing w:before="240" w:after="0"/>
        <w:jc w:val="left"/>
        <w:rPr>
          <w:rFonts w:ascii="Times New Roman" w:hAnsi="Times New Roman"/>
          <w:sz w:val="20"/>
        </w:rPr>
      </w:pPr>
      <w:r>
        <w:rPr>
          <w:rFonts w:ascii="Times New Roman" w:hAnsi="Times New Roman"/>
          <w:i/>
          <w:sz w:val="20"/>
        </w:rPr>
        <w:t>Furniture, Flooring</w:t>
      </w:r>
      <w:r>
        <w:rPr>
          <w:rFonts w:ascii="Times New Roman" w:hAnsi="Times New Roman"/>
          <w:sz w:val="20"/>
        </w:rPr>
        <w:t> </w:t>
      </w:r>
      <w:r>
        <w:rPr>
          <w:rFonts w:ascii="Times New Roman" w:hAnsi="Times New Roman"/>
          <w:i/>
          <w:sz w:val="20"/>
        </w:rPr>
        <w:t>&amp; Textile Products</w:t>
      </w:r>
      <w:r>
        <w:rPr>
          <w:rFonts w:ascii="Times New Roman" w:hAnsi="Times New Roman"/>
          <w:sz w:val="20"/>
        </w:rPr>
        <w:t xml:space="preserve">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sales increased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Volume was flat with growth in Textiles offset by declines in Home Furniture, Work Furniture, and Flooring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Raw material-related selling price increases added 1% to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2025 divestiture of a small facility in Work Furniture reduced sales &lt;1%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 and adjusted1 EBIT increased $5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Adjusted1 EBIT benefited from refunds of IEEPA tariffs that were paid during the eleven-month period they were in force. During that period, competitive pressures led to margin compression as cost increases, including tariffs, were not fully recovered through increased selling prices.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2026 GUIDANCE AND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On April 13, 2026, the Company entered into an agreement to be acquired by Somnigroup International Inc. (NYSE: SGI). The transaction is anticipated to close upon satisfaction of the remaining closing conditions, including Leggett &amp; Platt shareholder approval at the August 20, 2026 meeting and remaining required regulatory approvals. As is customary while a transaction is pending, Leggett &amp; Platt’s 2026 guidance issued in February was withdrawn last quarter and should no longer be relied upon. Additionally, Leggett &amp; Platt will not host a conference call. For further details on quarterly performance, please refer to Leggett &amp; Platt’s Quarterly Report on Form 10-Q for the quarter ended June 30, 2026, which is expected to be filed today with the Securities and Exchange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of 7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FOR MORE INFORMATION: Visit Leggett’s website at </w:t>
      </w:r>
      <w:r>
        <w:rPr>
          <w:rFonts w:ascii="Times New Roman" w:hAnsi="Times New Roman"/>
          <w:sz w:val="20"/>
          <w:u w:val="single"/>
        </w:rPr>
        <w:t>www.leggett.com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COMPANY DESCRIPTION:</w:t>
      </w:r>
      <w:r>
        <w:rPr>
          <w:rFonts w:ascii="Times New Roman" w:hAnsi="Times New Roman"/>
          <w:sz w:val="20"/>
        </w:rPr>
        <w:t xml:space="preserve"> Leggett &amp; Platt (NYSE: LEG) is a diversified manufacturer that designs and produces a broad variety of engineered components and products that can be found in many homes and automobiles. The 143-year-old Company is a leading supplier of bedding components and solutions; automotive seat comfort and convenience systems; home and work furniture components; geo components; flooring underlayment; and hydraulic cylinders for material handling and heavy construction applications. </w:t>
      </w:r>
    </w:p>
    <w:p>
      <w:pPr>
        <w:pStyle w:val="TextBody"/>
        <w:bidi w:val="0"/>
        <w:spacing w:before="240" w:after="0"/>
        <w:jc w:val="left"/>
        <w:rPr>
          <w:rFonts w:ascii="Times New Roman" w:hAnsi="Times New Roman"/>
          <w:sz w:val="20"/>
        </w:rPr>
      </w:pPr>
      <w:r>
        <w:rPr>
          <w:rFonts w:ascii="Times New Roman" w:hAnsi="Times New Roman"/>
          <w:b/>
          <w:sz w:val="20"/>
        </w:rPr>
        <w:t>FORWARD-LOOKING STATEMENTS:</w:t>
      </w:r>
      <w:r>
        <w:rPr>
          <w:rFonts w:ascii="Times New Roman" w:hAnsi="Times New Roman"/>
          <w:sz w:val="20"/>
        </w:rPr>
        <w:t xml:space="preserve"> This press release contains “forward-looking statements,” identified by words such as “expect,” “anticipate,” “estimate,” “believe,” or by the context in which they appear, including, but not limited to, the anticipated closing of the Somnigroup transaction upon satisfaction of the remaining closing conditions, including Leggett &amp; Platt shareholder approval at the August 20, 2026 meeting and required regulatory approvals, the filing date of the Company’s Form 10-Q as well as the delivery of compelling strategic and financial value for customers, employees and shareholders associated with the Somnigroup Merger, and certain favorable items not expected to improve adjusted earnings in future quarters. Such statements are expressly qualified by cautionary statements described in this provision and reflect only the beliefs, expectations, and assumptions of Leggett at the time the statement is made. Because all forward-looking statements deal with the future, they are subject to risks, uncertainties and developments which might cause actual events or results to differ materially from those envisioned or reflected in any forward-looking statement. Moreover, we do not have, and do not undertake, any duty to update or revise any forward-looking statement to reflect events or circumstances after the date on which the statement was made, whether as a result of new information, future events or otherwise, except as required by law. Some of these risks include: risks associated with the Agreement and Plan of Merger, dated April 13, 2026 (as may be amended from time to time, the “Somnigroup Merger Agreement”), by and among Somnigroup International Inc. (“Somnigroup”), Sparrow Unity Corporation, a Missouri corporation and a direct, wholly owned subsidiary of Somnigroup (“Merger Sub”) and Leggett, pursuant to which, subject to the terms and conditions of the Somnigroup Merger Agreement, Merger Sub will merge with and into Leggett (the “Somnigroup Merger”), with Leggett surviving the Somnigroup Merger as a direct, wholly owned subsidiary of Somnigroup, including (i) Leggett’s shareholders inability to determine the value of consideration to be received in a completed Somnigroup Merger because the exchange ratio is fixed and the market price of Somnigroup common stock will fluctuate; (ii) the completion of the Somnigroup Merger is subject to certain conditions that may not be satisfied or waived, including Leggett shareholder approval and certain governmental and regulatory approvals; (iii) an event, change or other circumstance could give rise to delays in completing the Somnigroup Merger or the termination of the Somnigroup Merger Agreement; (iv) Leggett’s business relationships (including with Somnigroup and its affiliates) may be subject to disruption due to uncertainty associated with the Somnigroup Merger; (v) the diversion of management time from ongoing business operations and opportunities as a result of the Somnigroup Merger; (vi) failure to complete the Somnigroup Merger could negatively impact the share price and the future business and financial results of Leggett; (vii) litigation against the Company could result in substantial costs, an injunction preventing the completion of the Somnigroup Merger and/or a judgment resulting in the payment of damages; (viii) the Company will incur significant transaction and merger-related costs in connection with the Somnigroup Merger; and (ix) the possibility that the expected benefits of the Somnigroup Merger are not realized when expected or at all. In addition, risks include: impacts of the Iranian war; increased trade costs, including tariffs; regarding the 2024 and 2026 Restructuring Plans, our ability to timely receive anticipated EBIT benefits, and expected net cash from real estate sales; our ability to accurately forecast sales and earnings; the adverse impact on our sales, earnings, liquidity, margins, cash flow, costs, and financial condition caused by: global inflationary and deflationary impacts; the demand for our products and our customers’ products; our manufacturing facilities’ ability to obtain necessary raw materials, parts, and labor, and to ship finished products; the impairment of goodwill and long-lived assets; our ability to access the commercial paper market or borrow under our credit facility; supply chain shortages and disruptions; our ability to manage working capital; our ability to collect receivables; price and product competition; cost of raw materials, labor and energy; cash generation sufficient to pay our debts or the dividend; cash repatriation from foreign accounts; our ability to pass along cost increases through increased selling prices; conflict between China and Taiwan; our ability to maintain profit margins if customers change the quantity or mix of our products; political risks; tax audits and rates; foreign operating risks; cybersecurity incidents; customer losses and insolvencies; disruption to our steel rod mill and wire mills and other operations because of severe weather-related events, natural disaster, fire, explosion, terrorism, or governmental action; ability to develop innovative products; foreign currency fluctuation; anti-dumping duties on innersprings, steel wire rod and mattresses; data privacy; sustainability obligations; litigation risks; and risk factors in the “Forward-Looking Statements” and “Risk Factors” sections in Leggett’s Form 10-K and subsequent Form 10-Qs. There may be other factors that may cause Leggett’s actual results to differ materially from the forward-looking statements. </w:t>
      </w:r>
    </w:p>
    <w:p>
      <w:pPr>
        <w:pStyle w:val="TextBody"/>
        <w:bidi w:val="0"/>
        <w:spacing w:before="240" w:after="0"/>
        <w:jc w:val="left"/>
        <w:rPr>
          <w:rFonts w:ascii="Times New Roman" w:hAnsi="Times New Roman"/>
          <w:sz w:val="20"/>
        </w:rPr>
      </w:pPr>
      <w:r>
        <w:rPr>
          <w:rFonts w:ascii="Times New Roman" w:hAnsi="Times New Roman"/>
          <w:b/>
          <w:sz w:val="20"/>
        </w:rPr>
        <w:t>INVESTOR CONTACT</w:t>
      </w:r>
      <w:r>
        <w:rPr>
          <w:rFonts w:ascii="Times New Roman" w:hAnsi="Times New Roman"/>
          <w:sz w:val="20"/>
        </w:rPr>
        <w:t xml:space="preserve">: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Ryan M. Kleiboeker, Executive Vice President </w:t>
      </w:r>
    </w:p>
    <w:p>
      <w:pPr>
        <w:pStyle w:val="TextBody"/>
        <w:bidi w:val="0"/>
        <w:spacing w:before="0" w:after="0"/>
        <w:jc w:val="left"/>
        <w:rPr>
          <w:rFonts w:ascii="Times New Roman" w:hAnsi="Times New Roman"/>
          <w:sz w:val="20"/>
        </w:rPr>
      </w:pPr>
      <w:r>
        <w:rPr>
          <w:rFonts w:ascii="Times New Roman" w:hAnsi="Times New Roman"/>
          <w:sz w:val="20"/>
        </w:rPr>
        <w:t xml:space="preserve">(417) 358-8131 or </w:t>
      </w:r>
      <w:r>
        <w:rPr>
          <w:rFonts w:ascii="Times New Roman" w:hAnsi="Times New Roman"/>
          <w:sz w:val="20"/>
          <w:u w:val="single"/>
        </w:rPr>
        <w:t>invest@leggett.com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of 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LEGGETT &amp; PLATT</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Page 5 of 7</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August 6,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04"/>
        <w:gridCol w:w="140"/>
        <w:gridCol w:w="140"/>
        <w:gridCol w:w="751"/>
        <w:gridCol w:w="155"/>
        <w:gridCol w:w="83"/>
        <w:gridCol w:w="140"/>
        <w:gridCol w:w="751"/>
        <w:gridCol w:w="155"/>
        <w:gridCol w:w="83"/>
        <w:gridCol w:w="111"/>
        <w:gridCol w:w="717"/>
        <w:gridCol w:w="350"/>
        <w:gridCol w:w="83"/>
        <w:gridCol w:w="140"/>
        <w:gridCol w:w="751"/>
        <w:gridCol w:w="154"/>
        <w:gridCol w:w="83"/>
        <w:gridCol w:w="140"/>
        <w:gridCol w:w="751"/>
        <w:gridCol w:w="155"/>
        <w:gridCol w:w="83"/>
        <w:gridCol w:w="94"/>
        <w:gridCol w:w="733"/>
        <w:gridCol w:w="358"/>
      </w:tblGrid>
      <w:tr>
        <w:trPr/>
        <w:tc>
          <w:tcPr>
            <w:tcW w:w="3104"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RESULTS OF OPERATIONS</w:t>
            </w:r>
          </w:p>
        </w:tc>
        <w:tc>
          <w:tcPr>
            <w:tcW w:w="140" w:type="dxa"/>
            <w:tcBorders/>
            <w:vAlign w:val="bottom"/>
          </w:tcPr>
          <w:p>
            <w:pPr>
              <w:pStyle w:val="TableContents"/>
              <w:bidi w:val="0"/>
              <w:spacing w:before="0" w:after="283"/>
              <w:jc w:val="left"/>
              <w:rPr/>
            </w:pPr>
            <w:r>
              <w:rPr/>
              <w:t>  </w:t>
            </w:r>
          </w:p>
        </w:tc>
        <w:tc>
          <w:tcPr>
            <w:tcW w:w="30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0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TO DATE</w:t>
            </w:r>
          </w:p>
        </w:tc>
        <w:tc>
          <w:tcPr>
            <w:tcW w:w="358" w:type="dxa"/>
            <w:tcBorders/>
            <w:vAlign w:val="bottom"/>
          </w:tcPr>
          <w:p>
            <w:pPr>
              <w:pStyle w:val="TableContents"/>
              <w:bidi w:val="0"/>
              <w:spacing w:before="0" w:after="283"/>
              <w:jc w:val="left"/>
              <w:rPr/>
            </w:pPr>
            <w:r>
              <w:rPr/>
              <w:t> </w:t>
            </w:r>
          </w:p>
        </w:tc>
      </w:tr>
      <w:tr>
        <w:trPr/>
        <w:tc>
          <w:tcPr>
            <w:tcW w:w="310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 share data)</w:t>
            </w:r>
          </w:p>
        </w:tc>
        <w:tc>
          <w:tcPr>
            <w:tcW w:w="14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8"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999.7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1,058.0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1,917.9</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2,080.1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(8</w:t>
            </w:r>
          </w:p>
        </w:tc>
        <w:tc>
          <w:tcPr>
            <w:tcW w:w="358"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796.5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865.4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1,544.0</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1,697.5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203.2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192.6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6</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373.9</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382.6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(2</w:t>
            </w:r>
          </w:p>
        </w:tc>
        <w:tc>
          <w:tcPr>
            <w:tcW w:w="358"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Selling &amp; administrative expenses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119.8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118.4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241.3</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242.0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— </w:t>
            </w:r>
          </w:p>
        </w:tc>
        <w:tc>
          <w:tcPr>
            <w:tcW w:w="358"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6.7</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8.6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(19.8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interest and income taxes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80.1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90.4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(11</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124.6</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153.3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(19</w:t>
            </w:r>
          </w:p>
        </w:tc>
        <w:tc>
          <w:tcPr>
            <w:tcW w:w="358"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18.7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24.3</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68.4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71.7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100.3</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116.8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19.2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33.2</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33.7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47.1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52.5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67.1</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83.1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from noncontrolling interest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— </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Earnings (loss) Attributable to L&amp;P</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47.1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52.5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67.1</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83.1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(19</w:t>
            </w:r>
          </w:p>
        </w:tc>
        <w:tc>
          <w:tcPr>
            <w:tcW w:w="358" w:type="dxa"/>
            <w:tcBorders/>
            <w:shd w:fill="CCEEFF" w:val="clear"/>
            <w:vAlign w:val="bottom"/>
          </w:tcPr>
          <w:p>
            <w:pPr>
              <w:pStyle w:val="TableContents"/>
              <w:bidi w:val="0"/>
              <w:spacing w:before="0" w:after="283"/>
              <w:jc w:val="left"/>
              <w:rPr/>
            </w:pPr>
            <w:r>
              <w:rPr/>
              <w:t>)% </w:t>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diluted share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(loss) per diluted share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0.33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0.38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(13</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0.47</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0.60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(22</w:t>
            </w:r>
          </w:p>
        </w:tc>
        <w:tc>
          <w:tcPr>
            <w:tcW w:w="358"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Shares outstanding</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(at end of period)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136.6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135.3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1.0</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136.6</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135.3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1.0</w:t>
            </w:r>
          </w:p>
        </w:tc>
        <w:tc>
          <w:tcPr>
            <w:tcW w:w="358" w:type="dxa"/>
            <w:tcBorders/>
            <w:shd w:fill="CCEEFF" w:val="clear"/>
            <w:vAlign w:val="bottom"/>
          </w:tcPr>
          <w:p>
            <w:pPr>
              <w:pStyle w:val="TableContents"/>
              <w:bidi w:val="0"/>
              <w:spacing w:before="0" w:after="283"/>
              <w:jc w:val="left"/>
              <w:rPr/>
            </w:pPr>
            <w:r>
              <w:rPr/>
              <w:t>% </w:t>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Basic (average for period)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140.0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138.5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139.6</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138.2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(average for period)</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141.6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139.6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1.4</w:t>
            </w:r>
          </w:p>
        </w:tc>
        <w:tc>
          <w:tcPr>
            <w:tcW w:w="350"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141.3</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139.1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733" w:type="dxa"/>
            <w:tcBorders/>
            <w:shd w:fill="CCEEFF" w:val="clear"/>
            <w:vAlign w:val="bottom"/>
          </w:tcPr>
          <w:p>
            <w:pPr>
              <w:pStyle w:val="TableContents"/>
              <w:bidi w:val="0"/>
              <w:spacing w:before="0" w:after="283"/>
              <w:jc w:val="right"/>
              <w:rPr/>
            </w:pPr>
            <w:r>
              <w:rPr/>
              <w:t>1.6</w:t>
            </w:r>
          </w:p>
        </w:tc>
        <w:tc>
          <w:tcPr>
            <w:tcW w:w="358" w:type="dxa"/>
            <w:tcBorders/>
            <w:shd w:fill="CCEEFF" w:val="clear"/>
            <w:vAlign w:val="bottom"/>
          </w:tcPr>
          <w:p>
            <w:pPr>
              <w:pStyle w:val="TableContents"/>
              <w:bidi w:val="0"/>
              <w:spacing w:before="0" w:after="283"/>
              <w:jc w:val="left"/>
              <w:rPr/>
            </w:pPr>
            <w:r>
              <w:rPr/>
              <w:t>% </w:t>
            </w:r>
          </w:p>
        </w:tc>
      </w:tr>
      <w:tr>
        <w:trPr>
          <w:trHeight w:val="240" w:hRule="atLeast"/>
        </w:trPr>
        <w:tc>
          <w:tcPr>
            <w:tcW w:w="3104" w:type="dxa"/>
            <w:tcBorders/>
            <w:vAlign w:val="center"/>
          </w:tcPr>
          <w:p>
            <w:pPr>
              <w:pStyle w:val="TableContents"/>
              <w:bidi w:val="0"/>
              <w:spacing w:before="0" w:after="283"/>
              <w:jc w:val="left"/>
              <w:rPr>
                <w:sz w:val="4"/>
                <w:szCs w:val="4"/>
              </w:rPr>
            </w:pPr>
            <w:r>
              <w:rPr>
                <w:sz w:val="4"/>
                <w:szCs w:val="4"/>
              </w:rPr>
            </w:r>
          </w:p>
        </w:tc>
        <w:tc>
          <w:tcPr>
            <w:tcW w:w="3576" w:type="dxa"/>
            <w:gridSpan w:val="12"/>
            <w:tcBorders/>
            <w:vAlign w:val="center"/>
          </w:tcPr>
          <w:p>
            <w:pPr>
              <w:pStyle w:val="TableContents"/>
              <w:bidi w:val="0"/>
              <w:spacing w:before="0" w:after="283"/>
              <w:jc w:val="left"/>
              <w:rPr>
                <w:sz w:val="4"/>
                <w:szCs w:val="4"/>
              </w:rPr>
            </w:pPr>
            <w:r>
              <w:rPr>
                <w:sz w:val="4"/>
                <w:szCs w:val="4"/>
              </w:rPr>
            </w:r>
          </w:p>
        </w:tc>
        <w:tc>
          <w:tcPr>
            <w:tcW w:w="3525" w:type="dxa"/>
            <w:gridSpan w:val="12"/>
            <w:tcBorders/>
            <w:vAlign w:val="center"/>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CASH FLOW</w:t>
            </w:r>
          </w:p>
        </w:tc>
        <w:tc>
          <w:tcPr>
            <w:tcW w:w="140" w:type="dxa"/>
            <w:tcBorders/>
            <w:vAlign w:val="bottom"/>
          </w:tcPr>
          <w:p>
            <w:pPr>
              <w:pStyle w:val="TableContents"/>
              <w:bidi w:val="0"/>
              <w:spacing w:before="0" w:after="283"/>
              <w:jc w:val="left"/>
              <w:rPr/>
            </w:pPr>
            <w:r>
              <w:rPr/>
              <w:t>  </w:t>
            </w:r>
          </w:p>
        </w:tc>
        <w:tc>
          <w:tcPr>
            <w:tcW w:w="30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308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TO DATE</w:t>
            </w:r>
          </w:p>
        </w:tc>
        <w:tc>
          <w:tcPr>
            <w:tcW w:w="358" w:type="dxa"/>
            <w:tcBorders/>
            <w:vAlign w:val="bottom"/>
          </w:tcPr>
          <w:p>
            <w:pPr>
              <w:pStyle w:val="TableContents"/>
              <w:bidi w:val="0"/>
              <w:spacing w:before="0" w:after="283"/>
              <w:jc w:val="left"/>
              <w:rPr/>
            </w:pPr>
            <w:r>
              <w:rPr/>
              <w:t> </w:t>
            </w:r>
          </w:p>
        </w:tc>
      </w:tr>
      <w:tr>
        <w:trPr/>
        <w:tc>
          <w:tcPr>
            <w:tcW w:w="310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w:t>
            </w:r>
          </w:p>
        </w:tc>
        <w:tc>
          <w:tcPr>
            <w:tcW w:w="14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8"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47.1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52.5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67.1</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83.1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28.5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29.7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56.7</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Working capital decrease (increase)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(28.3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16.4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(146.5</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(47.8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Impairments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3.0</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 benefit (expense)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5.5</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activities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(12.3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3.9</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from Operating Activities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45.8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84.0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(45</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(10.3</w:t>
            </w:r>
          </w:p>
        </w:tc>
        <w:tc>
          <w:tcPr>
            <w:tcW w:w="154"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90.8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733" w:type="dxa"/>
            <w:tcBorders/>
            <w:vAlign w:val="bottom"/>
          </w:tcPr>
          <w:p>
            <w:pPr>
              <w:pStyle w:val="TableContents"/>
              <w:bidi w:val="0"/>
              <w:spacing w:before="0" w:after="283"/>
              <w:jc w:val="right"/>
              <w:rPr/>
            </w:pPr>
            <w:r>
              <w:rPr/>
              <w:t>(111</w:t>
            </w:r>
          </w:p>
        </w:tc>
        <w:tc>
          <w:tcPr>
            <w:tcW w:w="358"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Additions to PP&amp;E</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(8.5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(44.8</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(21.8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disposals of assets and businesses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26.9</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29.1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(13.6</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Repurchase of common stock, net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(0.3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(3.7</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Additions to (payments of) debt, net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(146.4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1.4</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(77.4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3.4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10.7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2.5</w:t>
            </w:r>
          </w:p>
        </w:tc>
        <w:tc>
          <w:tcPr>
            <w:tcW w:w="154"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733" w:type="dxa"/>
            <w:tcBorders/>
            <w:shd w:fill="CCEEFF" w:val="clear"/>
            <w:vAlign w:val="bottom"/>
          </w:tcPr>
          <w:p>
            <w:pPr>
              <w:pStyle w:val="TableContents"/>
              <w:bidi w:val="0"/>
              <w:spacing w:before="0" w:after="283"/>
              <w:jc w:val="left"/>
              <w:rPr>
                <w:sz w:val="4"/>
                <w:szCs w:val="4"/>
              </w:rPr>
            </w:pPr>
            <w:r>
              <w:rPr>
                <w:sz w:val="4"/>
                <w:szCs w:val="4"/>
              </w:rPr>
            </w:r>
          </w:p>
        </w:tc>
        <w:tc>
          <w:tcPr>
            <w:tcW w:w="358" w:type="dxa"/>
            <w:tcBorders/>
            <w:shd w:fill="CCEEFF" w:val="clear"/>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b/>
                <w:sz w:val="20"/>
              </w:rPr>
            </w:pPr>
            <w:r>
              <w:rPr>
                <w:rFonts w:ascii="Times New Roman" w:hAnsi="Times New Roman"/>
                <w:b/>
                <w:sz w:val="20"/>
              </w:rPr>
              <w:t>Increase (Decrease) in Cash &amp; Equivalents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35.3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(43.8</w:t>
            </w:r>
          </w:p>
        </w:tc>
        <w:tc>
          <w:tcPr>
            <w:tcW w:w="155"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(41.6</w:t>
            </w:r>
          </w:p>
        </w:tc>
        <w:tc>
          <w:tcPr>
            <w:tcW w:w="154" w:type="dxa"/>
            <w:tcBorders/>
            <w:vAlign w:val="bottom"/>
          </w:tcPr>
          <w:p>
            <w:pPr>
              <w:pStyle w:val="TableContents"/>
              <w:bidi w:val="0"/>
              <w:spacing w:before="0" w:after="283"/>
              <w:jc w:val="left"/>
              <w:rPr>
                <w:b/>
              </w:rPr>
            </w:pPr>
            <w:r>
              <w:rPr>
                <w:b/>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751" w:type="dxa"/>
            <w:tcBorders/>
            <w:vAlign w:val="bottom"/>
          </w:tcPr>
          <w:p>
            <w:pPr>
              <w:pStyle w:val="TableContents"/>
              <w:bidi w:val="0"/>
              <w:spacing w:before="0" w:after="283"/>
              <w:jc w:val="right"/>
              <w:rPr>
                <w:b/>
              </w:rPr>
            </w:pPr>
            <w:r>
              <w:rPr>
                <w:b/>
              </w:rPr>
              <w:t>18.6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4"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3104" w:type="dxa"/>
            <w:tcBorders/>
            <w:vAlign w:val="center"/>
          </w:tcPr>
          <w:p>
            <w:pPr>
              <w:pStyle w:val="TableContents"/>
              <w:bidi w:val="0"/>
              <w:spacing w:before="0" w:after="283"/>
              <w:jc w:val="left"/>
              <w:rPr>
                <w:sz w:val="4"/>
                <w:szCs w:val="4"/>
              </w:rPr>
            </w:pPr>
            <w:r>
              <w:rPr>
                <w:sz w:val="4"/>
                <w:szCs w:val="4"/>
              </w:rPr>
            </w:r>
          </w:p>
        </w:tc>
        <w:tc>
          <w:tcPr>
            <w:tcW w:w="1186" w:type="dxa"/>
            <w:gridSpan w:val="4"/>
            <w:tcBorders/>
            <w:vAlign w:val="center"/>
          </w:tcPr>
          <w:p>
            <w:pPr>
              <w:pStyle w:val="TableContents"/>
              <w:bidi w:val="0"/>
              <w:spacing w:before="0" w:after="283"/>
              <w:jc w:val="left"/>
              <w:rPr>
                <w:sz w:val="4"/>
                <w:szCs w:val="4"/>
              </w:rPr>
            </w:pPr>
            <w:r>
              <w:rPr>
                <w:sz w:val="4"/>
                <w:szCs w:val="4"/>
              </w:rPr>
            </w:r>
          </w:p>
        </w:tc>
        <w:tc>
          <w:tcPr>
            <w:tcW w:w="1129" w:type="dxa"/>
            <w:gridSpan w:val="4"/>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128" w:type="dxa"/>
            <w:gridSpan w:val="4"/>
            <w:tcBorders/>
            <w:vAlign w:val="center"/>
          </w:tcPr>
          <w:p>
            <w:pPr>
              <w:pStyle w:val="TableContents"/>
              <w:bidi w:val="0"/>
              <w:spacing w:before="0" w:after="283"/>
              <w:jc w:val="left"/>
              <w:rPr>
                <w:sz w:val="4"/>
                <w:szCs w:val="4"/>
              </w:rPr>
            </w:pPr>
            <w:r>
              <w:rPr>
                <w:sz w:val="4"/>
                <w:szCs w:val="4"/>
              </w:rPr>
            </w:r>
          </w:p>
        </w:tc>
        <w:tc>
          <w:tcPr>
            <w:tcW w:w="1129" w:type="dxa"/>
            <w:gridSpan w:val="4"/>
            <w:tcBorders/>
            <w:vAlign w:val="center"/>
          </w:tcPr>
          <w:p>
            <w:pPr>
              <w:pStyle w:val="TableContents"/>
              <w:bidi w:val="0"/>
              <w:spacing w:before="0" w:after="283"/>
              <w:jc w:val="left"/>
              <w:rPr>
                <w:sz w:val="4"/>
                <w:szCs w:val="4"/>
              </w:rPr>
            </w:pPr>
            <w:r>
              <w:rPr>
                <w:sz w:val="4"/>
                <w:szCs w:val="4"/>
              </w:rPr>
            </w:r>
          </w:p>
        </w:tc>
        <w:tc>
          <w:tcPr>
            <w:tcW w:w="1268" w:type="dxa"/>
            <w:gridSpan w:val="4"/>
            <w:tcBorders/>
            <w:vAlign w:val="center"/>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b/>
                <w:u w:val="single"/>
              </w:rPr>
            </w:pPr>
            <w:r>
              <w:rPr>
                <w:b/>
                <w:u w:val="single"/>
              </w:rPr>
              <w:t>BALANCE SHEET</w:t>
            </w:r>
          </w:p>
        </w:tc>
        <w:tc>
          <w:tcPr>
            <w:tcW w:w="140"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center"/>
              <w:rPr>
                <w:b/>
              </w:rPr>
            </w:pPr>
            <w:r>
              <w:rPr>
                <w:b/>
              </w:rPr>
              <w:t>Jun 30,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center"/>
              <w:rPr>
                <w:b/>
              </w:rPr>
            </w:pPr>
            <w:r>
              <w:rPr>
                <w:b/>
              </w:rPr>
              <w:t>Dec 31,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8" w:type="dxa"/>
            <w:gridSpan w:val="2"/>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7"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10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w:t>
            </w:r>
          </w:p>
        </w:tc>
        <w:tc>
          <w:tcPr>
            <w:tcW w:w="140"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91"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27" w:type="dxa"/>
            <w:gridSpan w:val="2"/>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equivalents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545.8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51" w:type="dxa"/>
            <w:tcBorders/>
            <w:shd w:fill="CCEEFF" w:val="clear"/>
            <w:vAlign w:val="bottom"/>
          </w:tcPr>
          <w:p>
            <w:pPr>
              <w:pStyle w:val="TableContents"/>
              <w:bidi w:val="0"/>
              <w:spacing w:before="0" w:after="283"/>
              <w:jc w:val="right"/>
              <w:rPr/>
            </w:pPr>
            <w:r>
              <w:rPr/>
              <w:t>587.4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568.4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475.9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638.3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622.6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78.8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1,831.3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1,743.6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5</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fixed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646.9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664.0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130.9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137.9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745.1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751.4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and deferred costs, both at net</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248.6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239.5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3,602.8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3,536.4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Trade accounts payable</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475.5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51" w:type="dxa"/>
            <w:tcBorders/>
            <w:vAlign w:val="bottom"/>
          </w:tcPr>
          <w:p>
            <w:pPr>
              <w:pStyle w:val="TableContents"/>
              <w:bidi w:val="0"/>
              <w:spacing w:before="0" w:after="283"/>
              <w:jc w:val="right"/>
              <w:rPr/>
            </w:pPr>
            <w:r>
              <w:rPr/>
              <w:t>466.6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debt maturities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Current operating lease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48.5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51.5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253.8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255.4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779.3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775.0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1</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1,496.8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1,496.2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350" w:type="dxa"/>
            <w:tcBorders/>
            <w:shd w:fill="CCEEFF" w:val="cle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100.3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106.7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taxes and other liabilities</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144.2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135.9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17"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1,082.2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1,022.6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6</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2,823.5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2,761.4</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2</w:t>
            </w:r>
          </w:p>
        </w:tc>
        <w:tc>
          <w:tcPr>
            <w:tcW w:w="350"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5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LIABILITIES &amp; EQUITY</w:t>
            </w:r>
          </w:p>
        </w:tc>
        <w:tc>
          <w:tcPr>
            <w:tcW w:w="1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3,602.8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751" w:type="dxa"/>
            <w:tcBorders/>
            <w:shd w:fill="CCEEFF" w:val="clear"/>
            <w:vAlign w:val="bottom"/>
          </w:tcPr>
          <w:p>
            <w:pPr>
              <w:pStyle w:val="TableContents"/>
              <w:bidi w:val="0"/>
              <w:spacing w:before="0" w:after="283"/>
              <w:jc w:val="right"/>
              <w:rPr>
                <w:b/>
              </w:rPr>
            </w:pPr>
            <w:r>
              <w:rPr>
                <w:b/>
              </w:rPr>
              <w:t>3,536.4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2</w:t>
            </w:r>
          </w:p>
        </w:tc>
        <w:tc>
          <w:tcPr>
            <w:tcW w:w="350" w:type="dxa"/>
            <w:tcBorders/>
            <w:shd w:fill="CCEEFF" w:val="clear"/>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r>
        <w:trPr/>
        <w:tc>
          <w:tcPr>
            <w:tcW w:w="3104"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5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sz w:val="4"/>
                <w:szCs w:val="4"/>
              </w:rPr>
            </w:pPr>
            <w:r>
              <w:rPr>
                <w:sz w:val="4"/>
                <w:szCs w:val="4"/>
              </w:rPr>
            </w:r>
          </w:p>
        </w:tc>
        <w:tc>
          <w:tcPr>
            <w:tcW w:w="717"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5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73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LEGGETT &amp; PLATT</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Page 6 of 7</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August 6,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20"/>
        <w:gridCol w:w="134"/>
        <w:gridCol w:w="140"/>
        <w:gridCol w:w="564"/>
        <w:gridCol w:w="277"/>
        <w:gridCol w:w="76"/>
        <w:gridCol w:w="140"/>
        <w:gridCol w:w="740"/>
        <w:gridCol w:w="277"/>
        <w:gridCol w:w="76"/>
        <w:gridCol w:w="60"/>
        <w:gridCol w:w="895"/>
        <w:gridCol w:w="550"/>
        <w:gridCol w:w="76"/>
        <w:gridCol w:w="140"/>
        <w:gridCol w:w="740"/>
        <w:gridCol w:w="276"/>
        <w:gridCol w:w="76"/>
        <w:gridCol w:w="140"/>
        <w:gridCol w:w="740"/>
        <w:gridCol w:w="277"/>
        <w:gridCol w:w="76"/>
        <w:gridCol w:w="60"/>
        <w:gridCol w:w="895"/>
        <w:gridCol w:w="560"/>
      </w:tblGrid>
      <w:tr>
        <w:trPr/>
        <w:tc>
          <w:tcPr>
            <w:tcW w:w="222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SEGMENT RESULTS 1</w:t>
            </w:r>
          </w:p>
        </w:tc>
        <w:tc>
          <w:tcPr>
            <w:tcW w:w="134" w:type="dxa"/>
            <w:tcBorders/>
            <w:vAlign w:val="bottom"/>
          </w:tcPr>
          <w:p>
            <w:pPr>
              <w:pStyle w:val="TableContents"/>
              <w:bidi w:val="0"/>
              <w:spacing w:before="0" w:after="283"/>
              <w:jc w:val="left"/>
              <w:rPr/>
            </w:pPr>
            <w:r>
              <w:rPr/>
              <w:t>  </w:t>
            </w:r>
          </w:p>
        </w:tc>
        <w:tc>
          <w:tcPr>
            <w:tcW w:w="32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SECOND QUARTER</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4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TO DATE</w:t>
            </w:r>
          </w:p>
        </w:tc>
        <w:tc>
          <w:tcPr>
            <w:tcW w:w="560" w:type="dxa"/>
            <w:tcBorders/>
            <w:vAlign w:val="bottom"/>
          </w:tcPr>
          <w:p>
            <w:pPr>
              <w:pStyle w:val="TableContents"/>
              <w:bidi w:val="0"/>
              <w:spacing w:before="0" w:after="283"/>
              <w:jc w:val="left"/>
              <w:rPr/>
            </w:pPr>
            <w:r>
              <w:rPr/>
              <w:t> </w:t>
            </w:r>
          </w:p>
        </w:tc>
      </w:tr>
      <w:tr>
        <w:trPr/>
        <w:tc>
          <w:tcPr>
            <w:tcW w:w="2220" w:type="dxa"/>
            <w:tcBorders/>
            <w:vAlign w:val="bottom"/>
          </w:tcPr>
          <w:p>
            <w:pPr>
              <w:pStyle w:val="TableContents"/>
              <w:bidi w:val="0"/>
              <w:spacing w:before="0" w:after="283"/>
              <w:jc w:val="left"/>
              <w:rPr/>
            </w:pPr>
            <w:r>
              <w:rPr/>
              <w:t>(In millions)</w:t>
            </w:r>
          </w:p>
        </w:tc>
        <w:tc>
          <w:tcPr>
            <w:tcW w:w="134"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Bedding Products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386.9</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391.4</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751.8</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782.1</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42.1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27.2</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55</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67.8</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36.8</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84</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EBIT margin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10.9</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6.9</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400 bps </w:t>
            </w:r>
            <w:r>
              <w:rPr>
                <w:i/>
                <w:sz w:val="13"/>
              </w:rPr>
              <w:t>2</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9.0</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4.7</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430 bps </w:t>
            </w:r>
            <w:r>
              <w:rPr>
                <w:i/>
                <w:sz w:val="13"/>
              </w:rPr>
              <w:t>2</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restructuring-related, and impairment charges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6.0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10.7</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5.5</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real estate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(11.5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(16.7</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(21.0</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(16.7</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 3</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36.6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190</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57.5</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125</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EBIT margin 3</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9.5</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3.2</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630 bps</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7.6</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3.3</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430 bps</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13.4</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13.3</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25.8</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26.3</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50.0</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25.9</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93</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83.3</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51.9</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61</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Adjusted EBITDA margin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i/>
              </w:rPr>
            </w:pPr>
            <w:r>
              <w:rPr>
                <w:i/>
              </w:rPr>
              <w:t>12.9</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6.6</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630 bps</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11.1</w:t>
            </w:r>
          </w:p>
        </w:tc>
        <w:tc>
          <w:tcPr>
            <w:tcW w:w="276"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6.6</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450 bps</w:t>
            </w:r>
          </w:p>
        </w:tc>
        <w:tc>
          <w:tcPr>
            <w:tcW w:w="560" w:type="dxa"/>
            <w:tcBorders/>
            <w:shd w:fill="CCEEFF" w:val="clear"/>
            <w:vAlign w:val="bottom"/>
          </w:tcPr>
          <w:p>
            <w:pPr>
              <w:pStyle w:val="TableContents"/>
              <w:bidi w:val="0"/>
              <w:spacing w:before="0" w:after="283"/>
              <w:jc w:val="left"/>
              <w:rPr/>
            </w:pPr>
            <w:r>
              <w:rPr/>
              <w:t> </w:t>
            </w:r>
          </w:p>
        </w:tc>
      </w:tr>
      <w:tr>
        <w:trPr>
          <w:trHeight w:val="120" w:hRule="atLeast"/>
        </w:trPr>
        <w:tc>
          <w:tcPr>
            <w:tcW w:w="2220" w:type="dxa"/>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232"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1591" w:type="dxa"/>
            <w:gridSpan w:val="4"/>
            <w:tcBorders/>
            <w:vAlign w:val="center"/>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Specialized Products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247.0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304.1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(19</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491.1</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604.2</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(19</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EBIT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19.2</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38.7</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(50</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36.9</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67.1</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(45</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EBIT margin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i/>
              </w:rPr>
            </w:pPr>
            <w:r>
              <w:rPr>
                <w:i/>
              </w:rPr>
              <w:t>7.8</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12.7</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(490</w:t>
            </w:r>
          </w:p>
        </w:tc>
        <w:tc>
          <w:tcPr>
            <w:tcW w:w="550" w:type="dxa"/>
            <w:tcBorders/>
            <w:shd w:fill="CCEEFF" w:val="clear"/>
            <w:vAlign w:val="bottom"/>
          </w:tcPr>
          <w:p>
            <w:pPr>
              <w:pStyle w:val="TableContents"/>
              <w:bidi w:val="0"/>
              <w:spacing w:before="0" w:after="283"/>
              <w:jc w:val="left"/>
              <w:rPr>
                <w:i/>
              </w:rPr>
            </w:pPr>
            <w:r>
              <w:rPr>
                <w:i/>
              </w:rPr>
              <w:t>) bps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7.5</w:t>
            </w:r>
          </w:p>
        </w:tc>
        <w:tc>
          <w:tcPr>
            <w:tcW w:w="276"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11.1</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(360</w:t>
            </w:r>
          </w:p>
        </w:tc>
        <w:tc>
          <w:tcPr>
            <w:tcW w:w="560" w:type="dxa"/>
            <w:tcBorders/>
            <w:shd w:fill="CCEEFF" w:val="clear"/>
            <w:vAlign w:val="bottom"/>
          </w:tcPr>
          <w:p>
            <w:pPr>
              <w:pStyle w:val="TableContents"/>
              <w:bidi w:val="0"/>
              <w:spacing w:before="0" w:after="283"/>
              <w:jc w:val="left"/>
              <w:rPr>
                <w:i/>
              </w:rPr>
            </w:pPr>
            <w:r>
              <w:rPr>
                <w:i/>
              </w:rPr>
              <w:t>) bps </w:t>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restructuring-related, and impairment charges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3.3</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3.3</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4.0</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real estate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— </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(1.7</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(1.7</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 3</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22.5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37.6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(40</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40.2</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69.4</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(42</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Adjusted EBIT margin 3</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i/>
              </w:rPr>
            </w:pPr>
            <w:r>
              <w:rPr>
                <w:i/>
              </w:rPr>
              <w:t>9.1</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12.4</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(330</w:t>
            </w:r>
          </w:p>
        </w:tc>
        <w:tc>
          <w:tcPr>
            <w:tcW w:w="550" w:type="dxa"/>
            <w:tcBorders/>
            <w:shd w:fill="CCEEFF" w:val="clear"/>
            <w:vAlign w:val="bottom"/>
          </w:tcPr>
          <w:p>
            <w:pPr>
              <w:pStyle w:val="TableContents"/>
              <w:bidi w:val="0"/>
              <w:spacing w:before="0" w:after="283"/>
              <w:jc w:val="left"/>
              <w:rPr>
                <w:i/>
              </w:rPr>
            </w:pPr>
            <w:r>
              <w:rPr>
                <w:i/>
              </w:rPr>
              <w:t>) bps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8.2</w:t>
            </w:r>
          </w:p>
        </w:tc>
        <w:tc>
          <w:tcPr>
            <w:tcW w:w="276"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11.5</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(330</w:t>
            </w:r>
          </w:p>
        </w:tc>
        <w:tc>
          <w:tcPr>
            <w:tcW w:w="560" w:type="dxa"/>
            <w:tcBorders/>
            <w:shd w:fill="CCEEFF" w:val="clear"/>
            <w:vAlign w:val="bottom"/>
          </w:tcPr>
          <w:p>
            <w:pPr>
              <w:pStyle w:val="TableContents"/>
              <w:bidi w:val="0"/>
              <w:spacing w:before="0" w:after="283"/>
              <w:jc w:val="left"/>
              <w:rPr>
                <w:i/>
              </w:rPr>
            </w:pPr>
            <w:r>
              <w:rPr>
                <w:i/>
              </w:rPr>
              <w:t>) bps </w:t>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8.2</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16.6</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18.6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31.0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45.8</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(32</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56.8</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88.0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(35</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EBITDA margin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12.6</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15.1</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(250</w:t>
            </w:r>
          </w:p>
        </w:tc>
        <w:tc>
          <w:tcPr>
            <w:tcW w:w="550" w:type="dxa"/>
            <w:tcBorders/>
            <w:vAlign w:val="bottom"/>
          </w:tcPr>
          <w:p>
            <w:pPr>
              <w:pStyle w:val="TableContents"/>
              <w:bidi w:val="0"/>
              <w:spacing w:before="0" w:after="283"/>
              <w:jc w:val="left"/>
              <w:rPr>
                <w:i/>
              </w:rPr>
            </w:pPr>
            <w:r>
              <w:rPr>
                <w:i/>
              </w:rPr>
              <w:t>) bps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11.6</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14.6</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(300</w:t>
            </w:r>
          </w:p>
        </w:tc>
        <w:tc>
          <w:tcPr>
            <w:tcW w:w="560" w:type="dxa"/>
            <w:tcBorders/>
            <w:vAlign w:val="bottom"/>
          </w:tcPr>
          <w:p>
            <w:pPr>
              <w:pStyle w:val="TableContents"/>
              <w:bidi w:val="0"/>
              <w:spacing w:before="0" w:after="283"/>
              <w:jc w:val="left"/>
              <w:rPr>
                <w:i/>
              </w:rPr>
            </w:pPr>
            <w:r>
              <w:rPr>
                <w:i/>
              </w:rPr>
              <w:t>) bps </w:t>
            </w:r>
          </w:p>
        </w:tc>
      </w:tr>
      <w:tr>
        <w:trPr>
          <w:trHeight w:val="120" w:hRule="atLeast"/>
        </w:trPr>
        <w:tc>
          <w:tcPr>
            <w:tcW w:w="2220" w:type="dxa"/>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232"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1591" w:type="dxa"/>
            <w:gridSpan w:val="4"/>
            <w:tcBorders/>
            <w:vAlign w:val="center"/>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Furniture, Flooring &amp; Textile Products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77"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4" w:type="dxa"/>
            <w:tcBorders/>
            <w:vAlign w:val="bottom"/>
          </w:tcPr>
          <w:p>
            <w:pPr>
              <w:pStyle w:val="TableContents"/>
              <w:bidi w:val="0"/>
              <w:spacing w:before="0" w:after="283"/>
              <w:jc w:val="right"/>
              <w:rPr/>
            </w:pPr>
            <w:r>
              <w:rPr/>
              <w:t>365.8</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362.5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675.0</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693.8</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(3</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28.9</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24.4</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18</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33.3</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49.2</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(32</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EBIT margin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7.9</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6.7</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120 bps</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4.9</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7.1</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(220</w:t>
            </w:r>
          </w:p>
        </w:tc>
        <w:tc>
          <w:tcPr>
            <w:tcW w:w="560" w:type="dxa"/>
            <w:tcBorders/>
            <w:vAlign w:val="bottom"/>
          </w:tcPr>
          <w:p>
            <w:pPr>
              <w:pStyle w:val="TableContents"/>
              <w:bidi w:val="0"/>
              <w:spacing w:before="0" w:after="283"/>
              <w:jc w:val="left"/>
              <w:rPr>
                <w:i/>
              </w:rPr>
            </w:pPr>
            <w:r>
              <w:rPr>
                <w:i/>
              </w:rPr>
              <w:t>) bps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restructuring-related, and impairment charges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0.9</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Gain on sale of real estate</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(3.2</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 3</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29.9</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25.3</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18</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34.5</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47.0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(27</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EBIT margin 3</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8.2</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7.0</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120 bps</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5.1</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6.8</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(170</w:t>
            </w:r>
          </w:p>
        </w:tc>
        <w:tc>
          <w:tcPr>
            <w:tcW w:w="560" w:type="dxa"/>
            <w:tcBorders/>
            <w:vAlign w:val="bottom"/>
          </w:tcPr>
          <w:p>
            <w:pPr>
              <w:pStyle w:val="TableContents"/>
              <w:bidi w:val="0"/>
              <w:spacing w:before="0" w:after="283"/>
              <w:jc w:val="left"/>
              <w:rPr>
                <w:i/>
              </w:rPr>
            </w:pPr>
            <w:r>
              <w:rPr>
                <w:i/>
              </w:rPr>
              <w:t>) bps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3.7</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8.0</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9.5</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33.6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29.9</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12</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42.5</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56.5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(25</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Adjusted EBITDA margin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i/>
              </w:rPr>
            </w:pPr>
            <w:r>
              <w:rPr>
                <w:i/>
              </w:rPr>
              <w:t>9.2</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8.2</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100 bps</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6.3</w:t>
            </w:r>
          </w:p>
        </w:tc>
        <w:tc>
          <w:tcPr>
            <w:tcW w:w="276"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8.1</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(180</w:t>
            </w:r>
          </w:p>
        </w:tc>
        <w:tc>
          <w:tcPr>
            <w:tcW w:w="560" w:type="dxa"/>
            <w:tcBorders/>
            <w:shd w:fill="CCEEFF" w:val="clear"/>
            <w:vAlign w:val="bottom"/>
          </w:tcPr>
          <w:p>
            <w:pPr>
              <w:pStyle w:val="TableContents"/>
              <w:bidi w:val="0"/>
              <w:spacing w:before="0" w:after="283"/>
              <w:jc w:val="left"/>
              <w:rPr>
                <w:i/>
              </w:rPr>
            </w:pPr>
            <w:r>
              <w:rPr>
                <w:i/>
              </w:rPr>
              <w:t>) bps </w:t>
            </w:r>
          </w:p>
        </w:tc>
      </w:tr>
      <w:tr>
        <w:trPr>
          <w:trHeight w:val="120" w:hRule="atLeast"/>
        </w:trPr>
        <w:tc>
          <w:tcPr>
            <w:tcW w:w="2220" w:type="dxa"/>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1581" w:type="dxa"/>
            <w:gridSpan w:val="4"/>
            <w:tcBorders/>
            <w:vAlign w:val="center"/>
          </w:tcPr>
          <w:p>
            <w:pPr>
              <w:pStyle w:val="TableContents"/>
              <w:bidi w:val="0"/>
              <w:spacing w:before="0" w:after="283"/>
              <w:jc w:val="left"/>
              <w:rPr>
                <w:sz w:val="4"/>
                <w:szCs w:val="4"/>
              </w:rPr>
            </w:pPr>
            <w:r>
              <w:rPr>
                <w:sz w:val="4"/>
                <w:szCs w:val="4"/>
              </w:rPr>
            </w:r>
          </w:p>
        </w:tc>
        <w:tc>
          <w:tcPr>
            <w:tcW w:w="1232" w:type="dxa"/>
            <w:gridSpan w:val="4"/>
            <w:tcBorders/>
            <w:vAlign w:val="center"/>
          </w:tcPr>
          <w:p>
            <w:pPr>
              <w:pStyle w:val="TableContents"/>
              <w:bidi w:val="0"/>
              <w:spacing w:before="0" w:after="283"/>
              <w:jc w:val="left"/>
              <w:rPr>
                <w:sz w:val="4"/>
                <w:szCs w:val="4"/>
              </w:rPr>
            </w:pPr>
            <w:r>
              <w:rPr>
                <w:sz w:val="4"/>
                <w:szCs w:val="4"/>
              </w:rPr>
            </w:r>
          </w:p>
        </w:tc>
        <w:tc>
          <w:tcPr>
            <w:tcW w:w="1233" w:type="dxa"/>
            <w:gridSpan w:val="4"/>
            <w:tcBorders/>
            <w:vAlign w:val="center"/>
          </w:tcPr>
          <w:p>
            <w:pPr>
              <w:pStyle w:val="TableContents"/>
              <w:bidi w:val="0"/>
              <w:spacing w:before="0" w:after="283"/>
              <w:jc w:val="left"/>
              <w:rPr>
                <w:sz w:val="4"/>
                <w:szCs w:val="4"/>
              </w:rPr>
            </w:pPr>
            <w:r>
              <w:rPr>
                <w:sz w:val="4"/>
                <w:szCs w:val="4"/>
              </w:rPr>
            </w:r>
          </w:p>
        </w:tc>
        <w:tc>
          <w:tcPr>
            <w:tcW w:w="1591" w:type="dxa"/>
            <w:gridSpan w:val="4"/>
            <w:tcBorders/>
            <w:vAlign w:val="center"/>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Total Company</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4"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277"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999.7</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1,058.0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(6</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1,917.9</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2,080.1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(8</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EBIT - segments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90.2</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90.3</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138.0</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153.1</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(10</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Intersegment eliminations and other</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(10.1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(13.4</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0.2</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EBIT</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80.1</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90.4</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(11</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124.6</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153.3</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(19</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EBIT margin</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i/>
              </w:rPr>
            </w:pPr>
            <w:r>
              <w:rPr>
                <w:i/>
              </w:rPr>
              <w:t>8.0</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8.5</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(50</w:t>
            </w:r>
          </w:p>
        </w:tc>
        <w:tc>
          <w:tcPr>
            <w:tcW w:w="550" w:type="dxa"/>
            <w:tcBorders/>
            <w:shd w:fill="CCEEFF" w:val="clear"/>
            <w:vAlign w:val="bottom"/>
          </w:tcPr>
          <w:p>
            <w:pPr>
              <w:pStyle w:val="TableContents"/>
              <w:bidi w:val="0"/>
              <w:spacing w:before="0" w:after="283"/>
              <w:jc w:val="left"/>
              <w:rPr>
                <w:i/>
              </w:rPr>
            </w:pPr>
            <w:r>
              <w:rPr>
                <w:i/>
              </w:rPr>
              <w:t>) bps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6.5</w:t>
            </w:r>
          </w:p>
        </w:tc>
        <w:tc>
          <w:tcPr>
            <w:tcW w:w="276"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i/>
              </w:rPr>
            </w:pPr>
            <w:r>
              <w:rPr>
                <w:i/>
              </w:rPr>
              <w:t>7.4</w:t>
            </w:r>
          </w:p>
        </w:tc>
        <w:tc>
          <w:tcPr>
            <w:tcW w:w="277" w:type="dxa"/>
            <w:tcBorders/>
            <w:shd w:fill="CCEEFF" w:val="clear"/>
            <w:vAlign w:val="bottom"/>
          </w:tcPr>
          <w:p>
            <w:pPr>
              <w:pStyle w:val="TableContents"/>
              <w:bidi w:val="0"/>
              <w:spacing w:before="0" w:after="283"/>
              <w:jc w:val="left"/>
              <w:rPr>
                <w:i/>
              </w:rPr>
            </w:pPr>
            <w:r>
              <w:rPr>
                <w:i/>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i/>
              </w:rPr>
            </w:pPr>
            <w:r>
              <w:rPr>
                <w:i/>
              </w:rPr>
              <w:t>(90</w:t>
            </w:r>
          </w:p>
        </w:tc>
        <w:tc>
          <w:tcPr>
            <w:tcW w:w="560" w:type="dxa"/>
            <w:tcBorders/>
            <w:shd w:fill="CCEEFF" w:val="clear"/>
            <w:vAlign w:val="bottom"/>
          </w:tcPr>
          <w:p>
            <w:pPr>
              <w:pStyle w:val="TableContents"/>
              <w:bidi w:val="0"/>
              <w:spacing w:before="0" w:after="283"/>
              <w:jc w:val="left"/>
              <w:rPr>
                <w:i/>
              </w:rPr>
            </w:pPr>
            <w:r>
              <w:rPr>
                <w:i/>
              </w:rPr>
              <w:t>) bps </w:t>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restructuring-related, and impairment charges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10.3</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15.2</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10.5</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real estate</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(11.5</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(18.4</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(21.0</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(21.6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Somnigroup merger costs</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10.1</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13.6</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 3</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89.0</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75.6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18</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132.4</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142.2</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(7</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EBIT margin 3</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8.9</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7.1</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180 bps</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6.9</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6.8</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10 bps</w:t>
            </w:r>
          </w:p>
        </w:tc>
        <w:tc>
          <w:tcPr>
            <w:tcW w:w="560" w:type="dxa"/>
            <w:tcBorders/>
            <w:vAlign w:val="bottom"/>
          </w:tcPr>
          <w:p>
            <w:pPr>
              <w:pStyle w:val="TableContents"/>
              <w:bidi w:val="0"/>
              <w:spacing w:before="0" w:after="283"/>
              <w:jc w:val="left"/>
              <w:rPr/>
            </w:pPr>
            <w:r>
              <w:rPr/>
              <w:t> </w:t>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 - segments</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25.6</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26.1</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50" w:type="dxa"/>
            <w:tcBorders/>
            <w:shd w:fill="CCEEFF" w:val="clear"/>
            <w:vAlign w:val="bottom"/>
          </w:tcPr>
          <w:p>
            <w:pPr>
              <w:pStyle w:val="TableContents"/>
              <w:bidi w:val="0"/>
              <w:spacing w:before="0" w:after="283"/>
              <w:jc w:val="left"/>
              <w:rPr>
                <w:sz w:val="4"/>
                <w:szCs w:val="4"/>
              </w:rPr>
            </w:pPr>
            <w:r>
              <w:rPr>
                <w:sz w:val="4"/>
                <w:szCs w:val="4"/>
              </w:rPr>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50.4</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54.4</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95"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r>
      <w:tr>
        <w:trPr/>
        <w:tc>
          <w:tcPr>
            <w:tcW w:w="222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 unallocated 4</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2.9</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3.6</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6.3</w:t>
            </w:r>
          </w:p>
        </w:tc>
        <w:tc>
          <w:tcPr>
            <w:tcW w:w="276"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6.9</w:t>
            </w:r>
          </w:p>
        </w:tc>
        <w:tc>
          <w:tcPr>
            <w:tcW w:w="277"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vAlign w:val="bottom"/>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4"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77"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95"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r>
      <w:tr>
        <w:trPr/>
        <w:tc>
          <w:tcPr>
            <w:tcW w:w="22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3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4" w:type="dxa"/>
            <w:tcBorders/>
            <w:shd w:fill="CCEEFF" w:val="clear"/>
            <w:vAlign w:val="bottom"/>
          </w:tcPr>
          <w:p>
            <w:pPr>
              <w:pStyle w:val="TableContents"/>
              <w:bidi w:val="0"/>
              <w:spacing w:before="0" w:after="283"/>
              <w:jc w:val="right"/>
              <w:rPr/>
            </w:pPr>
            <w:r>
              <w:rPr/>
              <w:t>117.5</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105.3</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12</w:t>
            </w:r>
          </w:p>
        </w:tc>
        <w:tc>
          <w:tcPr>
            <w:tcW w:w="55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189.1</w:t>
            </w:r>
          </w:p>
        </w:tc>
        <w:tc>
          <w:tcPr>
            <w:tcW w:w="276"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0" w:type="dxa"/>
            <w:tcBorders/>
            <w:shd w:fill="CCEEFF" w:val="clear"/>
            <w:vAlign w:val="bottom"/>
          </w:tcPr>
          <w:p>
            <w:pPr>
              <w:pStyle w:val="TableContents"/>
              <w:bidi w:val="0"/>
              <w:spacing w:before="0" w:after="283"/>
              <w:jc w:val="right"/>
              <w:rPr/>
            </w:pPr>
            <w:r>
              <w:rPr/>
              <w:t>203.5</w:t>
            </w:r>
          </w:p>
        </w:tc>
        <w:tc>
          <w:tcPr>
            <w:tcW w:w="277"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283"/>
              <w:jc w:val="right"/>
              <w:rPr/>
            </w:pPr>
            <w:r>
              <w:rPr/>
              <w:t>(7</w:t>
            </w:r>
          </w:p>
        </w:tc>
        <w:tc>
          <w:tcPr>
            <w:tcW w:w="560" w:type="dxa"/>
            <w:tcBorders/>
            <w:shd w:fill="CCEEFF" w:val="clear"/>
            <w:vAlign w:val="bottom"/>
          </w:tcPr>
          <w:p>
            <w:pPr>
              <w:pStyle w:val="TableContents"/>
              <w:bidi w:val="0"/>
              <w:spacing w:before="0" w:after="283"/>
              <w:jc w:val="left"/>
              <w:rPr/>
            </w:pPr>
            <w:r>
              <w:rPr/>
              <w:t>)% </w:t>
            </w:r>
          </w:p>
        </w:tc>
      </w:tr>
      <w:tr>
        <w:trPr/>
        <w:tc>
          <w:tcPr>
            <w:tcW w:w="2220" w:type="dxa"/>
            <w:tcBorders/>
          </w:tcPr>
          <w:p>
            <w:pPr>
              <w:pStyle w:val="TableContents"/>
              <w:bidi w:val="0"/>
              <w:spacing w:before="0" w:after="0"/>
              <w:jc w:val="left"/>
              <w:rPr>
                <w:rFonts w:ascii="Times New Roman" w:hAnsi="Times New Roman"/>
                <w:i/>
                <w:sz w:val="20"/>
              </w:rPr>
            </w:pPr>
            <w:r>
              <w:rPr>
                <w:rFonts w:ascii="Times New Roman" w:hAnsi="Times New Roman"/>
                <w:i/>
                <w:sz w:val="20"/>
              </w:rPr>
              <w:t>Adjusted EBITDA margin</w:t>
            </w:r>
          </w:p>
        </w:tc>
        <w:tc>
          <w:tcPr>
            <w:tcW w:w="13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i/>
              </w:rPr>
            </w:pPr>
            <w:r>
              <w:rPr>
                <w:i/>
              </w:rPr>
              <w:t>11.8</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10.0</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180 bps</w:t>
            </w:r>
          </w:p>
        </w:tc>
        <w:tc>
          <w:tcPr>
            <w:tcW w:w="55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9.9</w:t>
            </w:r>
          </w:p>
        </w:tc>
        <w:tc>
          <w:tcPr>
            <w:tcW w:w="276"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i/>
              </w:rPr>
            </w:pPr>
            <w:r>
              <w:rPr>
                <w:i/>
              </w:rPr>
              <w:t>9.8</w:t>
            </w:r>
          </w:p>
        </w:tc>
        <w:tc>
          <w:tcPr>
            <w:tcW w:w="277" w:type="dxa"/>
            <w:tcBorders/>
            <w:vAlign w:val="bottom"/>
          </w:tcPr>
          <w:p>
            <w:pPr>
              <w:pStyle w:val="TableContents"/>
              <w:bidi w:val="0"/>
              <w:spacing w:before="0" w:after="283"/>
              <w:jc w:val="left"/>
              <w:rPr>
                <w:i/>
              </w:rPr>
            </w:pPr>
            <w:r>
              <w:rPr>
                <w:i/>
              </w:rPr>
              <w:t>% </w:t>
            </w:r>
          </w:p>
        </w:tc>
        <w:tc>
          <w:tcPr>
            <w:tcW w:w="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i/>
              </w:rPr>
            </w:pPr>
            <w:r>
              <w:rPr>
                <w:i/>
              </w:rPr>
              <w:t>10 bps</w:t>
            </w:r>
          </w:p>
        </w:tc>
        <w:tc>
          <w:tcPr>
            <w:tcW w:w="5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47"/>
        <w:gridCol w:w="139"/>
        <w:gridCol w:w="60"/>
        <w:gridCol w:w="748"/>
        <w:gridCol w:w="354"/>
        <w:gridCol w:w="80"/>
        <w:gridCol w:w="60"/>
        <w:gridCol w:w="748"/>
        <w:gridCol w:w="354"/>
        <w:gridCol w:w="80"/>
        <w:gridCol w:w="60"/>
        <w:gridCol w:w="748"/>
        <w:gridCol w:w="354"/>
        <w:gridCol w:w="79"/>
        <w:gridCol w:w="60"/>
        <w:gridCol w:w="560"/>
        <w:gridCol w:w="354"/>
        <w:gridCol w:w="80"/>
        <w:gridCol w:w="60"/>
        <w:gridCol w:w="560"/>
        <w:gridCol w:w="354"/>
        <w:gridCol w:w="80"/>
        <w:gridCol w:w="60"/>
        <w:gridCol w:w="560"/>
        <w:gridCol w:w="366"/>
      </w:tblGrid>
      <w:tr>
        <w:trPr/>
        <w:tc>
          <w:tcPr>
            <w:tcW w:w="3247"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3247" w:type="dxa"/>
            <w:tcBorders/>
            <w:vAlign w:val="bottom"/>
          </w:tcPr>
          <w:p>
            <w:pPr>
              <w:pStyle w:val="TableContents"/>
              <w:bidi w:val="0"/>
              <w:spacing w:before="0" w:after="283"/>
              <w:jc w:val="left"/>
              <w:rPr>
                <w:b/>
              </w:rPr>
            </w:pPr>
            <w:r>
              <w:rPr>
                <w:b/>
              </w:rPr>
              <w:t>LAST SIX QUARTERS</w:t>
            </w:r>
          </w:p>
        </w:tc>
        <w:tc>
          <w:tcPr>
            <w:tcW w:w="139" w:type="dxa"/>
            <w:tcBorders/>
            <w:vAlign w:val="bottom"/>
          </w:tcPr>
          <w:p>
            <w:pPr>
              <w:pStyle w:val="TableContents"/>
              <w:bidi w:val="0"/>
              <w:spacing w:before="0" w:after="283"/>
              <w:jc w:val="left"/>
              <w:rPr/>
            </w:pPr>
            <w:r>
              <w:rPr/>
              <w:t>  </w:t>
            </w:r>
          </w:p>
        </w:tc>
        <w:tc>
          <w:tcPr>
            <w:tcW w:w="434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6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66" w:type="dxa"/>
            <w:tcBorders/>
            <w:vAlign w:val="bottom"/>
          </w:tcPr>
          <w:p>
            <w:pPr>
              <w:pStyle w:val="TableContents"/>
              <w:bidi w:val="0"/>
              <w:spacing w:before="0" w:after="283"/>
              <w:jc w:val="left"/>
              <w:rPr/>
            </w:pPr>
            <w:r>
              <w:rPr/>
              <w:t> </w:t>
            </w:r>
          </w:p>
        </w:tc>
      </w:tr>
      <w:tr>
        <w:trPr/>
        <w:tc>
          <w:tcPr>
            <w:tcW w:w="3247"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Selected Figures</w:t>
            </w:r>
          </w:p>
          <w:p>
            <w:pPr>
              <w:pStyle w:val="TableContents"/>
              <w:pBdr>
                <w:bottom w:val="single" w:sz="8" w:space="1" w:color="000000"/>
              </w:pBdr>
              <w:bidi w:val="0"/>
              <w:spacing w:before="0" w:after="20"/>
              <w:jc w:val="left"/>
              <w:rPr>
                <w:rFonts w:ascii="Times New Roman" w:hAnsi="Times New Roman"/>
                <w:sz w:val="16"/>
              </w:rPr>
            </w:pPr>
            <w:r>
              <w:rPr>
                <w:rFonts w:ascii="Times New Roman" w:hAnsi="Times New Roman"/>
                <w:sz w:val="16"/>
              </w:rPr>
              <w:t>(In millions)</w:t>
            </w:r>
          </w:p>
        </w:tc>
        <w:tc>
          <w:tcPr>
            <w:tcW w:w="139"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66" w:type="dxa"/>
            <w:tcBorders/>
            <w:vAlign w:val="bottom"/>
          </w:tcPr>
          <w:p>
            <w:pPr>
              <w:pStyle w:val="TableContents"/>
              <w:bidi w:val="0"/>
              <w:spacing w:before="0" w:after="283"/>
              <w:jc w:val="left"/>
              <w:rPr/>
            </w:pPr>
            <w:r>
              <w:rPr/>
              <w:t> </w:t>
            </w:r>
          </w:p>
        </w:tc>
      </w:tr>
      <w:tr>
        <w:trPr/>
        <w:tc>
          <w:tcPr>
            <w:tcW w:w="3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1,022.1</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1,058.0</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1,036.4</w:t>
            </w:r>
          </w:p>
        </w:tc>
        <w:tc>
          <w:tcPr>
            <w:tcW w:w="35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938.6</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918.2</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999.7</w:t>
            </w:r>
          </w:p>
        </w:tc>
        <w:tc>
          <w:tcPr>
            <w:tcW w:w="366" w:type="dxa"/>
            <w:tcBorders/>
            <w:shd w:fill="CCEEFF" w:val="clear"/>
            <w:vAlign w:val="bottom"/>
          </w:tcPr>
          <w:p>
            <w:pPr>
              <w:pStyle w:val="TableContents"/>
              <w:bidi w:val="0"/>
              <w:spacing w:before="0" w:after="283"/>
              <w:jc w:val="left"/>
              <w:rPr/>
            </w:pPr>
            <w:r>
              <w:rPr/>
              <w:t> </w:t>
            </w:r>
          </w:p>
        </w:tc>
      </w:tr>
      <w:tr>
        <w:trPr/>
        <w:tc>
          <w:tcPr>
            <w:tcW w:w="3247" w:type="dxa"/>
            <w:tcBorders/>
          </w:tcPr>
          <w:p>
            <w:pPr>
              <w:pStyle w:val="TableContents"/>
              <w:bidi w:val="0"/>
              <w:spacing w:before="0" w:after="0"/>
              <w:jc w:val="left"/>
              <w:rPr>
                <w:rFonts w:ascii="Times New Roman" w:hAnsi="Times New Roman"/>
                <w:sz w:val="20"/>
              </w:rPr>
            </w:pPr>
            <w:r>
              <w:rPr>
                <w:rFonts w:ascii="Times New Roman" w:hAnsi="Times New Roman"/>
                <w:sz w:val="20"/>
              </w:rPr>
              <w:t>Sales growth (vs. prior year)</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(7</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(11</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(10</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w:t>
            </w:r>
          </w:p>
        </w:tc>
        <w:tc>
          <w:tcPr>
            <w:tcW w:w="366" w:type="dxa"/>
            <w:tcBorders/>
            <w:vAlign w:val="bottom"/>
          </w:tcPr>
          <w:p>
            <w:pPr>
              <w:pStyle w:val="TableContents"/>
              <w:bidi w:val="0"/>
              <w:spacing w:before="0" w:after="283"/>
              <w:jc w:val="left"/>
              <w:rPr/>
            </w:pPr>
            <w:r>
              <w:rPr/>
              <w:t>)% </w:t>
            </w:r>
          </w:p>
        </w:tc>
      </w:tr>
      <w:tr>
        <w:trPr/>
        <w:tc>
          <w:tcPr>
            <w:tcW w:w="3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Volume growth (same locations vs. prior year)</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(5</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(7</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(9</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w:t>
            </w:r>
          </w:p>
        </w:tc>
        <w:tc>
          <w:tcPr>
            <w:tcW w:w="366" w:type="dxa"/>
            <w:tcBorders/>
            <w:shd w:fill="CCEEFF" w:val="clear"/>
            <w:vAlign w:val="bottom"/>
          </w:tcPr>
          <w:p>
            <w:pPr>
              <w:pStyle w:val="TableContents"/>
              <w:bidi w:val="0"/>
              <w:spacing w:before="0" w:after="283"/>
              <w:jc w:val="left"/>
              <w:rPr/>
            </w:pPr>
            <w:r>
              <w:rPr/>
              <w:t>)% </w:t>
            </w:r>
          </w:p>
        </w:tc>
      </w:tr>
      <w:tr>
        <w:trPr>
          <w:trHeight w:val="120" w:hRule="atLeast"/>
        </w:trPr>
        <w:tc>
          <w:tcPr>
            <w:tcW w:w="324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53" w:type="dxa"/>
            <w:gridSpan w:val="4"/>
            <w:tcBorders/>
            <w:vAlign w:val="center"/>
          </w:tcPr>
          <w:p>
            <w:pPr>
              <w:pStyle w:val="TableContents"/>
              <w:bidi w:val="0"/>
              <w:spacing w:before="0" w:after="283"/>
              <w:jc w:val="left"/>
              <w:rPr>
                <w:sz w:val="4"/>
                <w:szCs w:val="4"/>
              </w:rPr>
            </w:pPr>
            <w:r>
              <w:rPr>
                <w:sz w:val="4"/>
                <w:szCs w:val="4"/>
              </w:rPr>
            </w:r>
          </w:p>
        </w:tc>
        <w:tc>
          <w:tcPr>
            <w:tcW w:w="1054"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r>
      <w:tr>
        <w:trPr/>
        <w:tc>
          <w:tcPr>
            <w:tcW w:w="324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 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66.6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75.6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72.8</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47.9</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43.4</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89.0</w:t>
            </w:r>
          </w:p>
        </w:tc>
        <w:tc>
          <w:tcPr>
            <w:tcW w:w="366" w:type="dxa"/>
            <w:tcBorders/>
            <w:vAlign w:val="bottom"/>
          </w:tcPr>
          <w:p>
            <w:pPr>
              <w:pStyle w:val="TableContents"/>
              <w:bidi w:val="0"/>
              <w:spacing w:before="0" w:after="283"/>
              <w:jc w:val="left"/>
              <w:rPr/>
            </w:pPr>
            <w:r>
              <w:rPr/>
              <w:t> </w:t>
            </w:r>
          </w:p>
        </w:tc>
      </w:tr>
      <w:tr>
        <w:trPr/>
        <w:tc>
          <w:tcPr>
            <w:tcW w:w="3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from operations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6.8</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84.0</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125.9</w:t>
            </w:r>
          </w:p>
        </w:tc>
        <w:tc>
          <w:tcPr>
            <w:tcW w:w="35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121.5</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(56.1</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45.8</w:t>
            </w:r>
          </w:p>
        </w:tc>
        <w:tc>
          <w:tcPr>
            <w:tcW w:w="366" w:type="dxa"/>
            <w:tcBorders/>
            <w:shd w:fill="CCEEFF" w:val="clear"/>
            <w:vAlign w:val="bottom"/>
          </w:tcPr>
          <w:p>
            <w:pPr>
              <w:pStyle w:val="TableContents"/>
              <w:bidi w:val="0"/>
              <w:spacing w:before="0" w:after="283"/>
              <w:jc w:val="left"/>
              <w:rPr/>
            </w:pPr>
            <w:r>
              <w:rPr/>
              <w:t> </w:t>
            </w:r>
          </w:p>
        </w:tc>
      </w:tr>
      <w:tr>
        <w:trPr>
          <w:trHeight w:val="120" w:hRule="atLeast"/>
        </w:trPr>
        <w:tc>
          <w:tcPr>
            <w:tcW w:w="324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53" w:type="dxa"/>
            <w:gridSpan w:val="4"/>
            <w:tcBorders/>
            <w:vAlign w:val="center"/>
          </w:tcPr>
          <w:p>
            <w:pPr>
              <w:pStyle w:val="TableContents"/>
              <w:bidi w:val="0"/>
              <w:spacing w:before="0" w:after="283"/>
              <w:jc w:val="left"/>
              <w:rPr>
                <w:sz w:val="4"/>
                <w:szCs w:val="4"/>
              </w:rPr>
            </w:pPr>
            <w:r>
              <w:rPr>
                <w:sz w:val="4"/>
                <w:szCs w:val="4"/>
              </w:rPr>
            </w:r>
          </w:p>
        </w:tc>
        <w:tc>
          <w:tcPr>
            <w:tcW w:w="1054"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r>
      <w:tr>
        <w:trPr/>
        <w:tc>
          <w:tcPr>
            <w:tcW w:w="3247"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(trailing twelve months) 3</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404.1</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405.6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395.4</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385.3</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358.7</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370.9</w:t>
            </w:r>
          </w:p>
        </w:tc>
        <w:tc>
          <w:tcPr>
            <w:tcW w:w="366" w:type="dxa"/>
            <w:tcBorders/>
            <w:vAlign w:val="bottom"/>
          </w:tcPr>
          <w:p>
            <w:pPr>
              <w:pStyle w:val="TableContents"/>
              <w:bidi w:val="0"/>
              <w:spacing w:before="0" w:after="283"/>
              <w:jc w:val="left"/>
              <w:rPr/>
            </w:pPr>
            <w:r>
              <w:rPr/>
              <w:t> </w:t>
            </w:r>
          </w:p>
        </w:tc>
      </w:tr>
      <w:tr>
        <w:trPr/>
        <w:tc>
          <w:tcPr>
            <w:tcW w:w="3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 current maturities - cash and equivalents) / adj. EBITDA 3,5</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3.77</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3.51</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2.62</w:t>
            </w:r>
          </w:p>
        </w:tc>
        <w:tc>
          <w:tcPr>
            <w:tcW w:w="35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2.36</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2.75</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2.57</w:t>
            </w:r>
          </w:p>
        </w:tc>
        <w:tc>
          <w:tcPr>
            <w:tcW w:w="366" w:type="dxa"/>
            <w:tcBorders/>
            <w:shd w:fill="CCEEFF" w:val="clear"/>
            <w:vAlign w:val="bottom"/>
          </w:tcPr>
          <w:p>
            <w:pPr>
              <w:pStyle w:val="TableContents"/>
              <w:bidi w:val="0"/>
              <w:spacing w:before="0" w:after="283"/>
              <w:jc w:val="left"/>
              <w:rPr/>
            </w:pPr>
            <w:r>
              <w:rPr/>
              <w:t> </w:t>
            </w:r>
          </w:p>
        </w:tc>
      </w:tr>
      <w:tr>
        <w:trPr>
          <w:trHeight w:val="240" w:hRule="atLeast"/>
        </w:trPr>
        <w:tc>
          <w:tcPr>
            <w:tcW w:w="3247" w:type="dxa"/>
            <w:tcBorders/>
            <w:vAlign w:val="center"/>
          </w:tcPr>
          <w:p>
            <w:pPr>
              <w:pStyle w:val="TableContents"/>
              <w:bidi w:val="0"/>
              <w:spacing w:before="0" w:after="283"/>
              <w:jc w:val="left"/>
              <w:rPr>
                <w:sz w:val="4"/>
                <w:szCs w:val="4"/>
              </w:rPr>
            </w:pPr>
            <w:r>
              <w:rPr>
                <w:sz w:val="4"/>
                <w:szCs w:val="4"/>
              </w:rPr>
            </w:r>
          </w:p>
        </w:tc>
        <w:tc>
          <w:tcPr>
            <w:tcW w:w="1301"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242" w:type="dxa"/>
            <w:gridSpan w:val="4"/>
            <w:tcBorders/>
            <w:vAlign w:val="center"/>
          </w:tcPr>
          <w:p>
            <w:pPr>
              <w:pStyle w:val="TableContents"/>
              <w:bidi w:val="0"/>
              <w:spacing w:before="0" w:after="283"/>
              <w:jc w:val="left"/>
              <w:rPr>
                <w:sz w:val="4"/>
                <w:szCs w:val="4"/>
              </w:rPr>
            </w:pPr>
            <w:r>
              <w:rPr>
                <w:sz w:val="4"/>
                <w:szCs w:val="4"/>
              </w:rPr>
            </w:r>
          </w:p>
        </w:tc>
        <w:tc>
          <w:tcPr>
            <w:tcW w:w="1053" w:type="dxa"/>
            <w:gridSpan w:val="4"/>
            <w:tcBorders/>
            <w:vAlign w:val="center"/>
          </w:tcPr>
          <w:p>
            <w:pPr>
              <w:pStyle w:val="TableContents"/>
              <w:bidi w:val="0"/>
              <w:spacing w:before="0" w:after="283"/>
              <w:jc w:val="left"/>
              <w:rPr>
                <w:sz w:val="4"/>
                <w:szCs w:val="4"/>
              </w:rPr>
            </w:pPr>
            <w:r>
              <w:rPr>
                <w:sz w:val="4"/>
                <w:szCs w:val="4"/>
              </w:rPr>
            </w:r>
          </w:p>
        </w:tc>
        <w:tc>
          <w:tcPr>
            <w:tcW w:w="1054" w:type="dxa"/>
            <w:gridSpan w:val="4"/>
            <w:tcBorders/>
            <w:vAlign w:val="center"/>
          </w:tcPr>
          <w:p>
            <w:pPr>
              <w:pStyle w:val="TableContents"/>
              <w:bidi w:val="0"/>
              <w:spacing w:before="0" w:after="283"/>
              <w:jc w:val="left"/>
              <w:rPr>
                <w:sz w:val="4"/>
                <w:szCs w:val="4"/>
              </w:rPr>
            </w:pPr>
            <w:r>
              <w:rPr>
                <w:sz w:val="4"/>
                <w:szCs w:val="4"/>
              </w:rPr>
            </w:r>
          </w:p>
        </w:tc>
        <w:tc>
          <w:tcPr>
            <w:tcW w:w="1066" w:type="dxa"/>
            <w:gridSpan w:val="4"/>
            <w:tcBorders/>
            <w:vAlign w:val="center"/>
          </w:tcPr>
          <w:p>
            <w:pPr>
              <w:pStyle w:val="TableContents"/>
              <w:bidi w:val="0"/>
              <w:spacing w:before="0" w:after="283"/>
              <w:jc w:val="left"/>
              <w:rPr>
                <w:sz w:val="4"/>
                <w:szCs w:val="4"/>
              </w:rPr>
            </w:pPr>
            <w:r>
              <w:rPr>
                <w:sz w:val="4"/>
                <w:szCs w:val="4"/>
              </w:rPr>
            </w:r>
          </w:p>
        </w:tc>
      </w:tr>
      <w:tr>
        <w:trPr/>
        <w:tc>
          <w:tcPr>
            <w:tcW w:w="32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Organic Sales (Vs. Prior Year) 6</w:t>
            </w:r>
          </w:p>
        </w:tc>
        <w:tc>
          <w:tcPr>
            <w:tcW w:w="139"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8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66" w:type="dxa"/>
            <w:tcBorders/>
            <w:vAlign w:val="bottom"/>
          </w:tcPr>
          <w:p>
            <w:pPr>
              <w:pStyle w:val="TableContents"/>
              <w:bidi w:val="0"/>
              <w:spacing w:before="0" w:after="283"/>
              <w:jc w:val="left"/>
              <w:rPr/>
            </w:pPr>
            <w:r>
              <w:rPr/>
              <w:t> </w:t>
            </w:r>
          </w:p>
        </w:tc>
      </w:tr>
      <w:tr>
        <w:trPr/>
        <w:tc>
          <w:tcPr>
            <w:tcW w:w="3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Bedding Products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(12</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(10</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(9</w:t>
            </w:r>
          </w:p>
        </w:tc>
        <w:tc>
          <w:tcPr>
            <w:tcW w:w="35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(10</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366" w:type="dxa"/>
            <w:tcBorders/>
            <w:shd w:fill="CCEEFF" w:val="clear"/>
            <w:vAlign w:val="bottom"/>
          </w:tcPr>
          <w:p>
            <w:pPr>
              <w:pStyle w:val="TableContents"/>
              <w:bidi w:val="0"/>
              <w:spacing w:before="0" w:after="283"/>
              <w:jc w:val="left"/>
              <w:rPr/>
            </w:pPr>
            <w:r>
              <w:rPr/>
              <w:t>)% </w:t>
            </w:r>
          </w:p>
        </w:tc>
      </w:tr>
      <w:tr>
        <w:trPr/>
        <w:tc>
          <w:tcPr>
            <w:tcW w:w="3247" w:type="dxa"/>
            <w:tcBorders/>
          </w:tcPr>
          <w:p>
            <w:pPr>
              <w:pStyle w:val="TableContents"/>
              <w:bidi w:val="0"/>
              <w:spacing w:before="0" w:after="0"/>
              <w:jc w:val="left"/>
              <w:rPr>
                <w:rFonts w:ascii="Times New Roman" w:hAnsi="Times New Roman"/>
                <w:sz w:val="20"/>
              </w:rPr>
            </w:pPr>
            <w:r>
              <w:rPr>
                <w:rFonts w:ascii="Times New Roman" w:hAnsi="Times New Roman"/>
                <w:sz w:val="20"/>
              </w:rPr>
              <w:t>Specialized Products</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(5</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(5</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(4</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w:t>
            </w:r>
          </w:p>
        </w:tc>
        <w:tc>
          <w:tcPr>
            <w:tcW w:w="366" w:type="dxa"/>
            <w:tcBorders/>
            <w:vAlign w:val="bottom"/>
          </w:tcPr>
          <w:p>
            <w:pPr>
              <w:pStyle w:val="TableContents"/>
              <w:bidi w:val="0"/>
              <w:spacing w:before="0" w:after="283"/>
              <w:jc w:val="left"/>
              <w:rPr/>
            </w:pPr>
            <w:r>
              <w:rPr/>
              <w:t>)% </w:t>
            </w:r>
          </w:p>
        </w:tc>
      </w:tr>
      <w:tr>
        <w:trPr/>
        <w:tc>
          <w:tcPr>
            <w:tcW w:w="3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Furniture, Flooring &amp; Textile Products</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(1</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8" w:type="dxa"/>
            <w:tcBorders/>
            <w:shd w:fill="CCEEFF" w:val="clear"/>
            <w:vAlign w:val="bottom"/>
          </w:tcPr>
          <w:p>
            <w:pPr>
              <w:pStyle w:val="TableContents"/>
              <w:bidi w:val="0"/>
              <w:spacing w:before="0" w:after="283"/>
              <w:jc w:val="right"/>
              <w:rPr/>
            </w:pPr>
            <w:r>
              <w:rPr/>
              <w:t>— </w:t>
            </w:r>
          </w:p>
        </w:tc>
        <w:tc>
          <w:tcPr>
            <w:tcW w:w="354"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w:t>
            </w:r>
          </w:p>
        </w:tc>
        <w:tc>
          <w:tcPr>
            <w:tcW w:w="354"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w:t>
            </w:r>
          </w:p>
        </w:tc>
        <w:tc>
          <w:tcPr>
            <w:tcW w:w="366" w:type="dxa"/>
            <w:tcBorders/>
            <w:shd w:fill="CCEEFF" w:val="clear"/>
            <w:vAlign w:val="bottom"/>
          </w:tcPr>
          <w:p>
            <w:pPr>
              <w:pStyle w:val="TableContents"/>
              <w:bidi w:val="0"/>
              <w:spacing w:before="0" w:after="283"/>
              <w:jc w:val="left"/>
              <w:rPr/>
            </w:pPr>
            <w:r>
              <w:rPr/>
              <w:t>% </w:t>
            </w:r>
          </w:p>
        </w:tc>
      </w:tr>
      <w:tr>
        <w:trPr/>
        <w:tc>
          <w:tcPr>
            <w:tcW w:w="3247" w:type="dxa"/>
            <w:tcBorders/>
          </w:tcPr>
          <w:p>
            <w:pPr>
              <w:pStyle w:val="TableContents"/>
              <w:bidi w:val="0"/>
              <w:spacing w:before="0" w:after="0"/>
              <w:jc w:val="left"/>
              <w:rPr>
                <w:rFonts w:ascii="Times New Roman" w:hAnsi="Times New Roman"/>
                <w:sz w:val="20"/>
              </w:rPr>
            </w:pPr>
            <w:r>
              <w:rPr>
                <w:rFonts w:ascii="Times New Roman" w:hAnsi="Times New Roman"/>
                <w:sz w:val="20"/>
              </w:rPr>
              <w:t>Overall</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(7</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8" w:type="dxa"/>
            <w:tcBorders/>
            <w:vAlign w:val="bottom"/>
          </w:tcPr>
          <w:p>
            <w:pPr>
              <w:pStyle w:val="TableContents"/>
              <w:bidi w:val="0"/>
              <w:spacing w:before="0" w:after="283"/>
              <w:jc w:val="right"/>
              <w:rPr/>
            </w:pPr>
            <w:r>
              <w:rPr/>
              <w:t>(4</w:t>
            </w:r>
          </w:p>
        </w:tc>
        <w:tc>
          <w:tcPr>
            <w:tcW w:w="354"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(5</w:t>
            </w:r>
          </w:p>
        </w:tc>
        <w:tc>
          <w:tcPr>
            <w:tcW w:w="354"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w:t>
            </w:r>
          </w:p>
        </w:tc>
        <w:tc>
          <w:tcPr>
            <w:tcW w:w="3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Segment and overall company margins calculated on net trade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bps = basis points; a unit of measure equal to 1/100th of 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Refer to next page for non-GAAP reconciliations.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primarily of depreciation of non-operating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based on trailing twelve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 sales excluding sales attributable to acquisitions and divestitures consummated in the last 12 months.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b/>
              </w:rPr>
            </w:pPr>
            <w:r>
              <w:rPr>
                <w:b/>
              </w:rPr>
              <w:t>LEGGETT &amp; PLATT</w:t>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center"/>
              <w:rPr/>
            </w:pPr>
            <w:r>
              <w:rPr/>
              <w:t>Page 7 of 7</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right"/>
              <w:rPr>
                <w:b/>
              </w:rPr>
            </w:pPr>
            <w:r>
              <w:rPr>
                <w:b/>
              </w:rPr>
              <w:t>August 6, 2026</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RECONCILIATION OF REPORTED (GAAP) TO ADJUSTED (Non-GAAP) FINANCIAL MEASURES 10 </w:t>
      </w:r>
    </w:p>
    <w:p>
      <w:pPr>
        <w:pStyle w:val="TextBody"/>
        <w:bidi w:val="0"/>
        <w:spacing w:before="0" w:after="0"/>
        <w:jc w:val="left"/>
        <w:rPr/>
      </w:pPr>
      <w:r>
        <w:rPr/>
        <w:t> </w:t>
      </w:r>
    </w:p>
    <w:tbl>
      <w:tblPr>
        <w:tblW w:w="10400" w:type="dxa"/>
        <w:jc w:val="center"/>
        <w:tblInd w:w="0" w:type="dxa"/>
        <w:tblLayout w:type="fixed"/>
        <w:tblCellMar>
          <w:top w:w="0" w:type="dxa"/>
          <w:left w:w="0" w:type="dxa"/>
          <w:bottom w:w="0" w:type="dxa"/>
          <w:right w:w="0" w:type="dxa"/>
        </w:tblCellMar>
      </w:tblPr>
      <w:tblGrid>
        <w:gridCol w:w="3260"/>
        <w:gridCol w:w="120"/>
        <w:gridCol w:w="60"/>
        <w:gridCol w:w="740"/>
        <w:gridCol w:w="320"/>
        <w:gridCol w:w="60"/>
        <w:gridCol w:w="60"/>
        <w:gridCol w:w="740"/>
        <w:gridCol w:w="320"/>
        <w:gridCol w:w="60"/>
        <w:gridCol w:w="60"/>
        <w:gridCol w:w="740"/>
        <w:gridCol w:w="320"/>
        <w:gridCol w:w="60"/>
        <w:gridCol w:w="60"/>
        <w:gridCol w:w="740"/>
        <w:gridCol w:w="320"/>
        <w:gridCol w:w="60"/>
        <w:gridCol w:w="60"/>
        <w:gridCol w:w="740"/>
        <w:gridCol w:w="320"/>
        <w:gridCol w:w="60"/>
        <w:gridCol w:w="60"/>
        <w:gridCol w:w="740"/>
        <w:gridCol w:w="320"/>
      </w:tblGrid>
      <w:tr>
        <w:trPr/>
        <w:tc>
          <w:tcPr>
            <w:tcW w:w="32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Non-GAAP Adjustments 7</w:t>
            </w:r>
          </w:p>
        </w:tc>
        <w:tc>
          <w:tcPr>
            <w:tcW w:w="120" w:type="dxa"/>
            <w:tcBorders/>
            <w:vAlign w:val="bottom"/>
          </w:tcPr>
          <w:p>
            <w:pPr>
              <w:pStyle w:val="TableContents"/>
              <w:bidi w:val="0"/>
              <w:spacing w:before="0" w:after="283"/>
              <w:jc w:val="left"/>
              <w:rPr/>
            </w:pPr>
            <w:r>
              <w:rPr/>
              <w:t>  </w:t>
            </w:r>
          </w:p>
        </w:tc>
        <w:tc>
          <w:tcPr>
            <w:tcW w:w="43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 share data)</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Aerospace Products Group</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(86.8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Restructuring, restructuring-related, and impairment charges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21.6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10.3</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sale of real estate</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(18.4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(11.5</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Net gain from insurance proceeds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(21.6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Pension settlement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22.0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Somnigroup merger costs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10.1</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Adjustments (Pretax) 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3.7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(14.8</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(98.3</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16.3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(1.1</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8.9</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impact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0.1</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Special tax item 9</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Non-GAAP Adjustments (After Tax)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(11.2</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(87.0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6.3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9.0</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shares outstanding</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138.6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139.6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140.2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140.4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141.0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141.6</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EPS Impact of Non-GAAP Adjustments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0.02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(0.08</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(0.62</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0.04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0.01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0.06</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rHeight w:val="240" w:hRule="atLeast"/>
        </w:trPr>
        <w:tc>
          <w:tcPr>
            <w:tcW w:w="3260" w:type="dxa"/>
            <w:tcBorders/>
            <w:vAlign w:val="center"/>
          </w:tcPr>
          <w:p>
            <w:pPr>
              <w:pStyle w:val="TableContents"/>
              <w:bidi w:val="0"/>
              <w:spacing w:before="0" w:after="283"/>
              <w:jc w:val="left"/>
              <w:rPr>
                <w:sz w:val="4"/>
                <w:szCs w:val="4"/>
              </w:rPr>
            </w:pPr>
            <w:r>
              <w:rPr>
                <w:sz w:val="4"/>
                <w:szCs w:val="4"/>
              </w:rPr>
            </w:r>
          </w:p>
        </w:tc>
        <w:tc>
          <w:tcPr>
            <w:tcW w:w="4780" w:type="dxa"/>
            <w:gridSpan w:val="16"/>
            <w:tcBorders/>
            <w:vAlign w:val="center"/>
          </w:tcPr>
          <w:p>
            <w:pPr>
              <w:pStyle w:val="TableContents"/>
              <w:bidi w:val="0"/>
              <w:spacing w:before="0" w:after="283"/>
              <w:jc w:val="left"/>
              <w:rPr>
                <w:sz w:val="4"/>
                <w:szCs w:val="4"/>
              </w:rPr>
            </w:pPr>
            <w:r>
              <w:rPr>
                <w:sz w:val="4"/>
                <w:szCs w:val="4"/>
              </w:rPr>
            </w:r>
          </w:p>
        </w:tc>
        <w:tc>
          <w:tcPr>
            <w:tcW w:w="2360" w:type="dxa"/>
            <w:gridSpan w:val="8"/>
            <w:tcBorders/>
            <w:vAlign w:val="center"/>
          </w:tcPr>
          <w:p>
            <w:pPr>
              <w:pStyle w:val="TableContents"/>
              <w:bidi w:val="0"/>
              <w:spacing w:before="0" w:after="283"/>
              <w:jc w:val="left"/>
              <w:rPr>
                <w:sz w:val="4"/>
                <w:szCs w:val="4"/>
              </w:rPr>
            </w:pPr>
            <w:r>
              <w:rPr>
                <w:sz w:val="4"/>
                <w:szCs w:val="4"/>
              </w:rPr>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Adjusted EBIT, EBITDA, Margin, and EPS 7</w:t>
            </w:r>
          </w:p>
        </w:tc>
        <w:tc>
          <w:tcPr>
            <w:tcW w:w="120" w:type="dxa"/>
            <w:tcBorders/>
            <w:vAlign w:val="bottom"/>
          </w:tcPr>
          <w:p>
            <w:pPr>
              <w:pStyle w:val="TableContents"/>
              <w:bidi w:val="0"/>
              <w:spacing w:before="0" w:after="283"/>
              <w:jc w:val="left"/>
              <w:rPr/>
            </w:pPr>
            <w:r>
              <w:rPr/>
              <w:t>  </w:t>
            </w:r>
          </w:p>
        </w:tc>
        <w:tc>
          <w:tcPr>
            <w:tcW w:w="43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per share data)</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sales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1,022.1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1,058.0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1,036.4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938.6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918.2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999.7</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EBIT (earnings before interest and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62.9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90.4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171.1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31.6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44.5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80.1</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Non-GAAP adjustments (pretax)</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(98.3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8.9</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66.6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75.6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72.8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47.9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43.4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89.0</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 margin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8.0</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 Margin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6.5</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7.1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7.0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5.1</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4.7</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8.9</w:t>
            </w:r>
          </w:p>
        </w:tc>
        <w:tc>
          <w:tcPr>
            <w:tcW w:w="320" w:type="dxa"/>
            <w:tcBorders/>
            <w:vAlign w:val="bottom"/>
          </w:tcPr>
          <w:p>
            <w:pPr>
              <w:pStyle w:val="TableContents"/>
              <w:bidi w:val="0"/>
              <w:spacing w:before="0" w:after="283"/>
              <w:jc w:val="left"/>
              <w:rPr>
                <w:b/>
              </w:rPr>
            </w:pPr>
            <w:r>
              <w:rPr>
                <w:b/>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62.9</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90.4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171.1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31.6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44.5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80.1</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31.6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29.7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29.4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31.7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28.2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28.5</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94.5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120.1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200.5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63.3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72.7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108.6</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Non-GAAP adjustments (pretax)</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(14.8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(98.3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16.3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8.9</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98.2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105.3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102.2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79.6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71.6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117.5</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EBITDA margin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11.4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19.3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6.7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10.9</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 Margin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9.6</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10.0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9.9</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8.5</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7.8</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11.8</w:t>
            </w:r>
          </w:p>
        </w:tc>
        <w:tc>
          <w:tcPr>
            <w:tcW w:w="320" w:type="dxa"/>
            <w:tcBorders/>
            <w:shd w:fill="CCEEFF" w:val="clear"/>
            <w:vAlign w:val="bottom"/>
          </w:tcPr>
          <w:p>
            <w:pPr>
              <w:pStyle w:val="TableContents"/>
              <w:bidi w:val="0"/>
              <w:spacing w:before="0" w:after="283"/>
              <w:jc w:val="left"/>
              <w:rPr>
                <w:b/>
              </w:rPr>
            </w:pPr>
            <w:r>
              <w:rPr>
                <w:b/>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Diluted EPS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0.38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0.91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0.18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0.14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0.33</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EPS impact of non-GAAP adjustments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0.02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(0.08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(0.62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0.04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0.01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0.06</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EPS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0.30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0.29</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0.22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0.15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b/>
              </w:rPr>
            </w:pPr>
            <w:r>
              <w:rPr>
                <w:b/>
              </w:rPr>
              <w:t>0.39</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rHeight w:val="240" w:hRule="atLeast"/>
        </w:trPr>
        <w:tc>
          <w:tcPr>
            <w:tcW w:w="3260" w:type="dxa"/>
            <w:tcBorders/>
            <w:vAlign w:val="center"/>
          </w:tcPr>
          <w:p>
            <w:pPr>
              <w:pStyle w:val="TableContents"/>
              <w:bidi w:val="0"/>
              <w:spacing w:before="0" w:after="283"/>
              <w:jc w:val="left"/>
              <w:rPr>
                <w:sz w:val="4"/>
                <w:szCs w:val="4"/>
              </w:rPr>
            </w:pPr>
            <w:r>
              <w:rPr>
                <w:sz w:val="4"/>
                <w:szCs w:val="4"/>
              </w:rPr>
            </w:r>
          </w:p>
        </w:tc>
        <w:tc>
          <w:tcPr>
            <w:tcW w:w="4780" w:type="dxa"/>
            <w:gridSpan w:val="16"/>
            <w:tcBorders/>
            <w:vAlign w:val="center"/>
          </w:tcPr>
          <w:p>
            <w:pPr>
              <w:pStyle w:val="TableContents"/>
              <w:bidi w:val="0"/>
              <w:spacing w:before="0" w:after="283"/>
              <w:jc w:val="left"/>
              <w:rPr>
                <w:sz w:val="4"/>
                <w:szCs w:val="4"/>
              </w:rPr>
            </w:pPr>
            <w:r>
              <w:rPr>
                <w:sz w:val="4"/>
                <w:szCs w:val="4"/>
              </w:rPr>
            </w:r>
          </w:p>
        </w:tc>
        <w:tc>
          <w:tcPr>
            <w:tcW w:w="2360" w:type="dxa"/>
            <w:gridSpan w:val="8"/>
            <w:tcBorders/>
            <w:vAlign w:val="center"/>
          </w:tcPr>
          <w:p>
            <w:pPr>
              <w:pStyle w:val="TableContents"/>
              <w:bidi w:val="0"/>
              <w:spacing w:before="0" w:after="283"/>
              <w:jc w:val="left"/>
              <w:rPr>
                <w:sz w:val="4"/>
                <w:szCs w:val="4"/>
              </w:rPr>
            </w:pPr>
            <w:r>
              <w:rPr>
                <w:sz w:val="4"/>
                <w:szCs w:val="4"/>
              </w:rPr>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Net Debt to Adjusted EBITDA 11</w:t>
            </w:r>
          </w:p>
        </w:tc>
        <w:tc>
          <w:tcPr>
            <w:tcW w:w="120" w:type="dxa"/>
            <w:tcBorders/>
            <w:vAlign w:val="bottom"/>
          </w:tcPr>
          <w:p>
            <w:pPr>
              <w:pStyle w:val="TableContents"/>
              <w:bidi w:val="0"/>
              <w:spacing w:before="0" w:after="283"/>
              <w:jc w:val="left"/>
              <w:rPr/>
            </w:pPr>
            <w:r>
              <w:rPr/>
              <w:t>  </w:t>
            </w:r>
          </w:p>
        </w:tc>
        <w:tc>
          <w:tcPr>
            <w:tcW w:w="43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(In millions, except ratios)</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debt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1,936.4</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1,793.5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1,497.2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1,497.7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1,498.2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1,498.3</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Less: cash and equivalents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(412.6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(368.8</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(460.7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(587.4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(510.5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(545.8</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debt</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1,523.8</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1,424.7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1,036.5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910.3</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987.7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952.5</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 trailing 12 months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404.1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405.6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395.4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385.3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358.7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370.9</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40" w:type="dxa"/>
            <w:tcBorders/>
            <w:vAlign w:val="bottom"/>
          </w:tcPr>
          <w:p>
            <w:pPr>
              <w:pStyle w:val="TableContents"/>
              <w:pBdr>
                <w:top w:val="double" w:sz="6"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326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Debt / 12-month Adjusted EBITDA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3.77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3.51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2.62</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2.36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2.75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b/>
              </w:rPr>
            </w:pPr>
            <w:r>
              <w:rPr>
                <w:b/>
              </w:rPr>
              <w:t>2.57</w:t>
            </w:r>
          </w:p>
        </w:tc>
        <w:tc>
          <w:tcPr>
            <w:tcW w:w="320" w:type="dxa"/>
            <w:tcBorders/>
            <w:shd w:fill="CCEEFF" w:val="clear"/>
            <w:vAlign w:val="bottom"/>
          </w:tcPr>
          <w:p>
            <w:pPr>
              <w:pStyle w:val="TableContents"/>
              <w:bidi w:val="0"/>
              <w:spacing w:before="0" w:after="283"/>
              <w:jc w:val="left"/>
              <w:rPr/>
            </w:pPr>
            <w:r>
              <w:rPr/>
              <w:t> </w:t>
            </w:r>
          </w:p>
        </w:tc>
      </w:tr>
      <w:tr>
        <w:trPr>
          <w:trHeight w:val="240" w:hRule="atLeast"/>
        </w:trPr>
        <w:tc>
          <w:tcPr>
            <w:tcW w:w="3260" w:type="dxa"/>
            <w:tcBorders/>
            <w:vAlign w:val="center"/>
          </w:tcPr>
          <w:p>
            <w:pPr>
              <w:pStyle w:val="TableContents"/>
              <w:bidi w:val="0"/>
              <w:spacing w:before="0" w:after="283"/>
              <w:jc w:val="left"/>
              <w:rPr>
                <w:sz w:val="4"/>
                <w:szCs w:val="4"/>
              </w:rPr>
            </w:pPr>
            <w:r>
              <w:rPr>
                <w:sz w:val="4"/>
                <w:szCs w:val="4"/>
              </w:rPr>
            </w:r>
          </w:p>
        </w:tc>
        <w:tc>
          <w:tcPr>
            <w:tcW w:w="4780" w:type="dxa"/>
            <w:gridSpan w:val="16"/>
            <w:tcBorders/>
            <w:vAlign w:val="center"/>
          </w:tcPr>
          <w:p>
            <w:pPr>
              <w:pStyle w:val="TableContents"/>
              <w:bidi w:val="0"/>
              <w:spacing w:before="0" w:after="283"/>
              <w:jc w:val="left"/>
              <w:rPr>
                <w:sz w:val="4"/>
                <w:szCs w:val="4"/>
              </w:rPr>
            </w:pPr>
            <w:r>
              <w:rPr>
                <w:sz w:val="4"/>
                <w:szCs w:val="4"/>
              </w:rPr>
            </w:r>
          </w:p>
        </w:tc>
        <w:tc>
          <w:tcPr>
            <w:tcW w:w="2360" w:type="dxa"/>
            <w:gridSpan w:val="8"/>
            <w:tcBorders/>
            <w:vAlign w:val="center"/>
          </w:tcPr>
          <w:p>
            <w:pPr>
              <w:pStyle w:val="TableContents"/>
              <w:bidi w:val="0"/>
              <w:spacing w:before="0" w:after="283"/>
              <w:jc w:val="left"/>
              <w:rPr>
                <w:sz w:val="4"/>
                <w:szCs w:val="4"/>
              </w:rPr>
            </w:pPr>
            <w:r>
              <w:rPr>
                <w:sz w:val="4"/>
                <w:szCs w:val="4"/>
              </w:rPr>
            </w:r>
          </w:p>
        </w:tc>
      </w:tr>
      <w:tr>
        <w:trPr/>
        <w:tc>
          <w:tcPr>
            <w:tcW w:w="326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Aerospace Products Group</w:t>
            </w:r>
          </w:p>
        </w:tc>
        <w:tc>
          <w:tcPr>
            <w:tcW w:w="120" w:type="dxa"/>
            <w:tcBorders/>
            <w:vAlign w:val="bottom"/>
          </w:tcPr>
          <w:p>
            <w:pPr>
              <w:pStyle w:val="TableContents"/>
              <w:bidi w:val="0"/>
              <w:spacing w:before="0" w:after="283"/>
              <w:jc w:val="left"/>
              <w:rPr/>
            </w:pPr>
            <w:r>
              <w:rPr/>
              <w:t>  </w:t>
            </w:r>
          </w:p>
        </w:tc>
        <w:tc>
          <w:tcPr>
            <w:tcW w:w="43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20" w:type="dxa"/>
            <w:tcBorders/>
            <w:vAlign w:val="bottom"/>
          </w:tcPr>
          <w:p>
            <w:pPr>
              <w:pStyle w:val="TableContents"/>
              <w:bidi w:val="0"/>
              <w:spacing w:before="0" w:after="283"/>
              <w:jc w:val="left"/>
              <w:rPr/>
            </w:pPr>
            <w:r>
              <w:rPr/>
              <w:t> </w:t>
            </w:r>
          </w:p>
        </w:tc>
      </w:tr>
      <w:tr>
        <w:trPr/>
        <w:tc>
          <w:tcPr>
            <w:tcW w:w="3260" w:type="dxa"/>
            <w:tcBorders/>
            <w:vAlign w:val="bottom"/>
          </w:tcPr>
          <w:p>
            <w:pPr>
              <w:pStyle w:val="TableContents"/>
              <w:bidi w:val="0"/>
              <w:spacing w:before="0" w:after="283"/>
              <w:jc w:val="left"/>
              <w:rPr/>
            </w:pPr>
            <w:r>
              <w:rPr/>
              <w:t>(In millions)</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1Q</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2Q</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trade sales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53.0</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50.6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28.6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EBIT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9.3</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3.2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r>
      <w:tr>
        <w:trPr/>
        <w:tc>
          <w:tcPr>
            <w:tcW w:w="32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2.5</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r>
      <w:tr>
        <w:trPr/>
        <w:tc>
          <w:tcPr>
            <w:tcW w:w="326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(assuming a 25% tax rate)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7.0</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and investors use these measures as supplemental information to assess operational performance.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8</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non-GAAP adjustments are included in the following lines of the income statement: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8"/>
        <w:gridCol w:w="152"/>
        <w:gridCol w:w="60"/>
        <w:gridCol w:w="321"/>
        <w:gridCol w:w="60"/>
        <w:gridCol w:w="152"/>
        <w:gridCol w:w="60"/>
        <w:gridCol w:w="537"/>
        <w:gridCol w:w="155"/>
        <w:gridCol w:w="102"/>
        <w:gridCol w:w="60"/>
        <w:gridCol w:w="690"/>
        <w:gridCol w:w="155"/>
        <w:gridCol w:w="102"/>
        <w:gridCol w:w="60"/>
        <w:gridCol w:w="474"/>
        <w:gridCol w:w="60"/>
        <w:gridCol w:w="152"/>
        <w:gridCol w:w="60"/>
        <w:gridCol w:w="435"/>
        <w:gridCol w:w="155"/>
        <w:gridCol w:w="102"/>
        <w:gridCol w:w="60"/>
        <w:gridCol w:w="423"/>
        <w:gridCol w:w="70"/>
      </w:tblGrid>
      <w:tr>
        <w:trPr/>
        <w:tc>
          <w:tcPr>
            <w:tcW w:w="5548"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554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988" w:type="dxa"/>
            <w:gridSpan w:val="14"/>
            <w:tcBorders>
              <w:bottom w:val="single" w:sz="8" w:space="0" w:color="000000"/>
            </w:tcBorders>
            <w:tcMar>
              <w:bottom w:w="28" w:type="dxa"/>
            </w:tcMar>
            <w:vAlign w:val="bottom"/>
          </w:tcPr>
          <w:p>
            <w:pPr>
              <w:pStyle w:val="TableContents"/>
              <w:bidi w:val="0"/>
              <w:spacing w:before="0" w:after="283"/>
              <w:jc w:val="center"/>
              <w:rPr/>
            </w:pPr>
            <w:r>
              <w:rPr/>
              <w:t>2025</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235" w:type="dxa"/>
            <w:gridSpan w:val="6"/>
            <w:tcBorders>
              <w:bottom w:val="single" w:sz="8" w:space="0" w:color="000000"/>
            </w:tcBorders>
            <w:tcMar>
              <w:bottom w:w="28" w:type="dxa"/>
            </w:tcMar>
            <w:vAlign w:val="bottom"/>
          </w:tcPr>
          <w:p>
            <w:pPr>
              <w:pStyle w:val="TableContents"/>
              <w:bidi w:val="0"/>
              <w:spacing w:before="0" w:after="283"/>
              <w:jc w:val="center"/>
              <w:rPr/>
            </w:pPr>
            <w:r>
              <w:rPr/>
              <w:t>2026</w:t>
            </w:r>
          </w:p>
        </w:tc>
        <w:tc>
          <w:tcPr>
            <w:tcW w:w="70" w:type="dxa"/>
            <w:tcBorders/>
            <w:vAlign w:val="bottom"/>
          </w:tcPr>
          <w:p>
            <w:pPr>
              <w:pStyle w:val="TableContents"/>
              <w:bidi w:val="0"/>
              <w:spacing w:before="0" w:after="283"/>
              <w:jc w:val="left"/>
              <w:rPr/>
            </w:pPr>
            <w:r>
              <w:rPr/>
              <w:t> </w:t>
            </w:r>
          </w:p>
        </w:tc>
      </w:tr>
      <w:tr>
        <w:trPr/>
        <w:tc>
          <w:tcPr>
            <w:tcW w:w="5548"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381" w:type="dxa"/>
            <w:gridSpan w:val="2"/>
            <w:tcBorders>
              <w:bottom w:val="single" w:sz="8" w:space="0" w:color="000000"/>
            </w:tcBorders>
            <w:tcMar>
              <w:bottom w:w="28" w:type="dxa"/>
            </w:tcMar>
            <w:vAlign w:val="bottom"/>
          </w:tcPr>
          <w:p>
            <w:pPr>
              <w:pStyle w:val="TableContents"/>
              <w:bidi w:val="0"/>
              <w:spacing w:before="0" w:after="283"/>
              <w:jc w:val="center"/>
              <w:rPr/>
            </w:pPr>
            <w:r>
              <w:rPr/>
              <w:t>1Q</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597" w:type="dxa"/>
            <w:gridSpan w:val="2"/>
            <w:tcBorders>
              <w:bottom w:val="single" w:sz="8" w:space="0" w:color="000000"/>
            </w:tcBorders>
            <w:tcMar>
              <w:bottom w:w="28" w:type="dxa"/>
            </w:tcMar>
            <w:vAlign w:val="bottom"/>
          </w:tcPr>
          <w:p>
            <w:pPr>
              <w:pStyle w:val="TableContents"/>
              <w:bidi w:val="0"/>
              <w:spacing w:before="0" w:after="283"/>
              <w:jc w:val="center"/>
              <w:rPr/>
            </w:pPr>
            <w:r>
              <w:rPr/>
              <w:t>2Q</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750" w:type="dxa"/>
            <w:gridSpan w:val="2"/>
            <w:tcBorders>
              <w:bottom w:val="single" w:sz="8" w:space="0" w:color="000000"/>
            </w:tcBorders>
            <w:tcMar>
              <w:bottom w:w="28" w:type="dxa"/>
            </w:tcMar>
            <w:vAlign w:val="bottom"/>
          </w:tcPr>
          <w:p>
            <w:pPr>
              <w:pStyle w:val="TableContents"/>
              <w:bidi w:val="0"/>
              <w:spacing w:before="0" w:after="283"/>
              <w:jc w:val="center"/>
              <w:rPr/>
            </w:pPr>
            <w:r>
              <w:rPr/>
              <w:t>3Q</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534" w:type="dxa"/>
            <w:gridSpan w:val="2"/>
            <w:tcBorders>
              <w:bottom w:val="single" w:sz="8" w:space="0" w:color="000000"/>
            </w:tcBorders>
            <w:tcMar>
              <w:bottom w:w="28" w:type="dxa"/>
            </w:tcMar>
            <w:vAlign w:val="bottom"/>
          </w:tcPr>
          <w:p>
            <w:pPr>
              <w:pStyle w:val="TableContents"/>
              <w:bidi w:val="0"/>
              <w:spacing w:before="0" w:after="283"/>
              <w:jc w:val="center"/>
              <w:rPr/>
            </w:pPr>
            <w:r>
              <w:rPr/>
              <w:t>4Q</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95" w:type="dxa"/>
            <w:gridSpan w:val="2"/>
            <w:tcBorders>
              <w:bottom w:val="single" w:sz="8" w:space="0" w:color="000000"/>
            </w:tcBorders>
            <w:tcMar>
              <w:bottom w:w="28" w:type="dxa"/>
            </w:tcMar>
            <w:vAlign w:val="bottom"/>
          </w:tcPr>
          <w:p>
            <w:pPr>
              <w:pStyle w:val="TableContents"/>
              <w:bidi w:val="0"/>
              <w:spacing w:before="0" w:after="283"/>
              <w:jc w:val="center"/>
              <w:rPr/>
            </w:pPr>
            <w:r>
              <w:rPr/>
              <w:t>1Q</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83" w:type="dxa"/>
            <w:gridSpan w:val="2"/>
            <w:tcBorders>
              <w:bottom w:val="single" w:sz="8" w:space="0" w:color="000000"/>
            </w:tcBorders>
            <w:tcMar>
              <w:bottom w:w="28" w:type="dxa"/>
            </w:tcMar>
            <w:vAlign w:val="bottom"/>
          </w:tcPr>
          <w:p>
            <w:pPr>
              <w:pStyle w:val="TableContents"/>
              <w:bidi w:val="0"/>
              <w:spacing w:before="0" w:after="283"/>
              <w:jc w:val="center"/>
              <w:rPr/>
            </w:pPr>
            <w:r>
              <w:rPr/>
              <w:t>2Q</w:t>
            </w:r>
          </w:p>
        </w:tc>
        <w:tc>
          <w:tcPr>
            <w:tcW w:w="70" w:type="dxa"/>
            <w:tcBorders/>
            <w:vAlign w:val="bottom"/>
          </w:tcPr>
          <w:p>
            <w:pPr>
              <w:pStyle w:val="TableContents"/>
              <w:bidi w:val="0"/>
              <w:spacing w:before="0" w:after="283"/>
              <w:jc w:val="left"/>
              <w:rPr/>
            </w:pPr>
            <w:r>
              <w:rPr/>
              <w:t> </w:t>
            </w:r>
          </w:p>
        </w:tc>
      </w:tr>
      <w:tr>
        <w:trPr/>
        <w:tc>
          <w:tcPr>
            <w:tcW w:w="5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1.7</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1.4</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3.4</w:t>
            </w:r>
          </w:p>
        </w:tc>
        <w:tc>
          <w:tcPr>
            <w:tcW w:w="70" w:type="dxa"/>
            <w:tcBorders/>
            <w:shd w:fill="CCEEFF" w:val="clear"/>
            <w:vAlign w:val="bottom"/>
          </w:tcPr>
          <w:p>
            <w:pPr>
              <w:pStyle w:val="TableContents"/>
              <w:bidi w:val="0"/>
              <w:spacing w:before="0" w:after="283"/>
              <w:jc w:val="left"/>
              <w:rPr/>
            </w:pPr>
            <w:r>
              <w:rPr/>
              <w:t> </w:t>
            </w:r>
          </w:p>
        </w:tc>
      </w:tr>
      <w:tr>
        <w:trPr/>
        <w:tc>
          <w:tcPr>
            <w:tcW w:w="5548" w:type="dxa"/>
            <w:tcBorders/>
          </w:tcPr>
          <w:p>
            <w:pPr>
              <w:pStyle w:val="TableContents"/>
              <w:bidi w:val="0"/>
              <w:spacing w:before="0" w:after="0"/>
              <w:jc w:val="left"/>
              <w:rPr>
                <w:rFonts w:ascii="Times New Roman" w:hAnsi="Times New Roman"/>
                <w:sz w:val="20"/>
              </w:rPr>
            </w:pPr>
            <w:r>
              <w:rPr>
                <w:rFonts w:ascii="Times New Roman" w:hAnsi="Times New Roman"/>
                <w:sz w:val="20"/>
              </w:rPr>
              <w:t>Selling &amp; administrative expenses</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3.6</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— </w:t>
            </w:r>
          </w:p>
        </w:tc>
        <w:tc>
          <w:tcPr>
            <w:tcW w:w="70" w:type="dxa"/>
            <w:tcBorders/>
            <w:vAlign w:val="bottom"/>
          </w:tcPr>
          <w:p>
            <w:pPr>
              <w:pStyle w:val="TableContents"/>
              <w:bidi w:val="0"/>
              <w:spacing w:before="0" w:after="283"/>
              <w:jc w:val="left"/>
              <w:rPr/>
            </w:pPr>
            <w:r>
              <w:rPr/>
              <w:t> </w:t>
            </w:r>
          </w:p>
        </w:tc>
      </w:tr>
      <w:tr>
        <w:trPr/>
        <w:tc>
          <w:tcPr>
            <w:tcW w:w="5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 net</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bidi w:val="0"/>
              <w:spacing w:before="0" w:after="283"/>
              <w:jc w:val="right"/>
              <w:rPr/>
            </w:pPr>
            <w:r>
              <w:rPr/>
              <w:t>1.5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0" w:type="dxa"/>
            <w:tcBorders/>
            <w:shd w:fill="CCEEFF" w:val="clear"/>
            <w:vAlign w:val="bottom"/>
          </w:tcPr>
          <w:p>
            <w:pPr>
              <w:pStyle w:val="TableContents"/>
              <w:bidi w:val="0"/>
              <w:spacing w:before="0" w:after="283"/>
              <w:jc w:val="right"/>
              <w:rPr/>
            </w:pPr>
            <w:r>
              <w:rPr/>
              <w:t>(100.0</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4" w:type="dxa"/>
            <w:tcBorders/>
            <w:shd w:fill="CCEEFF" w:val="clear"/>
            <w:vAlign w:val="bottom"/>
          </w:tcPr>
          <w:p>
            <w:pPr>
              <w:pStyle w:val="TableContents"/>
              <w:bidi w:val="0"/>
              <w:spacing w:before="0" w:after="283"/>
              <w:jc w:val="right"/>
              <w:rPr/>
            </w:pPr>
            <w:r>
              <w:rPr/>
              <w:t>11.3</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right"/>
              <w:rPr/>
            </w:pPr>
            <w:r>
              <w:rPr/>
              <w:t>(5.8</w:t>
            </w:r>
          </w:p>
        </w:tc>
        <w:tc>
          <w:tcPr>
            <w:tcW w:w="15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5.5</w:t>
            </w:r>
          </w:p>
        </w:tc>
        <w:tc>
          <w:tcPr>
            <w:tcW w:w="70" w:type="dxa"/>
            <w:tcBorders/>
            <w:shd w:fill="CCEEFF" w:val="clear"/>
            <w:vAlign w:val="bottom"/>
          </w:tcPr>
          <w:p>
            <w:pPr>
              <w:pStyle w:val="TableContents"/>
              <w:bidi w:val="0"/>
              <w:spacing w:before="0" w:after="283"/>
              <w:jc w:val="left"/>
              <w:rPr/>
            </w:pPr>
            <w:r>
              <w:rPr/>
              <w:t> </w:t>
            </w:r>
          </w:p>
        </w:tc>
      </w:tr>
      <w:tr>
        <w:trPr/>
        <w:tc>
          <w:tcPr>
            <w:tcW w:w="554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3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423" w:type="dxa"/>
            <w:tcBorders/>
            <w:vAlign w:val="bottom"/>
          </w:tcPr>
          <w:p>
            <w:pPr>
              <w:pStyle w:val="TableContents"/>
              <w:pBdr>
                <w:top w:val="single" w:sz="2"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r>
        <w:trPr/>
        <w:tc>
          <w:tcPr>
            <w:tcW w:w="5548" w:type="dxa"/>
            <w:tcBorders/>
          </w:tcPr>
          <w:p>
            <w:pPr>
              <w:pStyle w:val="TableContents"/>
              <w:bidi w:val="0"/>
              <w:spacing w:before="0" w:after="0"/>
              <w:jc w:val="left"/>
              <w:rPr>
                <w:rFonts w:ascii="Times New Roman" w:hAnsi="Times New Roman"/>
                <w:sz w:val="20"/>
              </w:rPr>
            </w:pPr>
            <w:r>
              <w:rPr>
                <w:rFonts w:ascii="Times New Roman" w:hAnsi="Times New Roman"/>
                <w:sz w:val="20"/>
              </w:rPr>
              <w:t>Total Non-GAAP Adjustments (Pretax)</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1" w:type="dxa"/>
            <w:tcBorders/>
            <w:vAlign w:val="bottom"/>
          </w:tcPr>
          <w:p>
            <w:pPr>
              <w:pStyle w:val="TableContents"/>
              <w:bidi w:val="0"/>
              <w:spacing w:before="0" w:after="283"/>
              <w:jc w:val="right"/>
              <w:rPr/>
            </w:pPr>
            <w:r>
              <w:rPr/>
              <w:t>3.7</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(14.8</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(98.3</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4" w:type="dxa"/>
            <w:tcBorders/>
            <w:vAlign w:val="bottom"/>
          </w:tcPr>
          <w:p>
            <w:pPr>
              <w:pStyle w:val="TableContents"/>
              <w:bidi w:val="0"/>
              <w:spacing w:before="0" w:after="283"/>
              <w:jc w:val="right"/>
              <w:rPr/>
            </w:pPr>
            <w:r>
              <w:rPr/>
              <w:t>16.3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right"/>
              <w:rPr/>
            </w:pPr>
            <w:r>
              <w:rPr/>
              <w:t>(1.1</w:t>
            </w:r>
          </w:p>
        </w:tc>
        <w:tc>
          <w:tcPr>
            <w:tcW w:w="15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3" w:type="dxa"/>
            <w:tcBorders/>
            <w:vAlign w:val="bottom"/>
          </w:tcPr>
          <w:p>
            <w:pPr>
              <w:pStyle w:val="TableContents"/>
              <w:bidi w:val="0"/>
              <w:spacing w:before="0" w:after="283"/>
              <w:jc w:val="right"/>
              <w:rPr/>
            </w:pPr>
            <w:r>
              <w:rPr/>
              <w:t>8.9</w:t>
            </w:r>
          </w:p>
        </w:tc>
        <w:tc>
          <w:tcPr>
            <w:tcW w:w="70" w:type="dxa"/>
            <w:tcBorders/>
            <w:vAlign w:val="bottom"/>
          </w:tcPr>
          <w:p>
            <w:pPr>
              <w:pStyle w:val="TableContents"/>
              <w:bidi w:val="0"/>
              <w:spacing w:before="0" w:after="283"/>
              <w:jc w:val="left"/>
              <w:rPr/>
            </w:pPr>
            <w:r>
              <w:rPr/>
              <w:t> </w:t>
            </w:r>
          </w:p>
        </w:tc>
      </w:tr>
      <w:tr>
        <w:trPr/>
        <w:tc>
          <w:tcPr>
            <w:tcW w:w="5548"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3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423" w:type="dxa"/>
            <w:tcBorders/>
            <w:vAlign w:val="bottom"/>
          </w:tcPr>
          <w:p>
            <w:pPr>
              <w:pStyle w:val="TableContents"/>
              <w:pBdr>
                <w:top w:val="double" w:sz="6" w:space="1" w:color="000000"/>
              </w:pBdr>
              <w:bidi w:val="0"/>
              <w:spacing w:before="0" w:after="0"/>
              <w:jc w:val="left"/>
              <w:rPr/>
            </w:pPr>
            <w:r>
              <w:rPr/>
              <w:t> </w:t>
            </w:r>
          </w:p>
        </w:tc>
        <w:tc>
          <w:tcPr>
            <w:tcW w:w="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tax item of $2.3 in Q3 2025 is related to U.S. corporate income tax law changes.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Calculations impacted by rounding.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and investors use this ratio as supplemental information to assess ability to pay off debt. These ratios are calculated differently than the Company’s credit facility covenant ratio.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5012</Words>
  <Characters>25379</Characters>
  <CharactersWithSpaces>33259</CharactersWithSpaces>
  <Paragraphs>5348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DATED AUGUST 6, 2026</dc:title>
</cp:coreProperties>
</file>