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Pr>
          <w:p>
            <w:pPr>
              <w:spacing w:after="0"/>
              <w:rPr>
                <w:sz w:val="20"/>
                <w:szCs w:val="20"/>
                <w:color w:val="auto"/>
              </w:rPr>
            </w:pPr>
          </w:p>
        </w:tc>
        <w:tc>
          <w:tcPr>
            <w:tcW w:w="5040" w:type="dxa"/>
            <w:vAlign w:val="bottom"/>
            <w:gridSpan w:val="2"/>
          </w:tcPr>
          <w:p>
            <w:pPr>
              <w:jc w:val="center"/>
              <w:ind w:left="3137"/>
              <w:spacing w:after="0"/>
              <w:rPr>
                <w:sz w:val="20"/>
                <w:szCs w:val="20"/>
                <w:color w:val="auto"/>
              </w:rPr>
            </w:pPr>
            <w:r>
              <w:rPr>
                <w:rFonts w:ascii="Arial" w:cs="Arial" w:eastAsia="Arial" w:hAnsi="Arial"/>
                <w:sz w:val="20"/>
                <w:szCs w:val="20"/>
                <w:b w:val="1"/>
                <w:bCs w:val="1"/>
                <w:color w:val="auto"/>
                <w:w w:val="96"/>
              </w:rPr>
              <w:t>UNITED STATES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500" w:type="dxa"/>
            <w:vAlign w:val="bottom"/>
          </w:tcPr>
          <w:p>
            <w:pPr>
              <w:spacing w:after="0"/>
              <w:rPr>
                <w:sz w:val="20"/>
                <w:szCs w:val="20"/>
                <w:color w:val="auto"/>
              </w:rPr>
            </w:pPr>
          </w:p>
        </w:tc>
        <w:tc>
          <w:tcPr>
            <w:tcW w:w="7040" w:type="dxa"/>
            <w:vAlign w:val="bottom"/>
            <w:gridSpan w:val="6"/>
          </w:tcPr>
          <w:p>
            <w:pPr>
              <w:jc w:val="center"/>
              <w:ind w:left="1117"/>
              <w:spacing w:after="0"/>
              <w:rPr>
                <w:sz w:val="20"/>
                <w:szCs w:val="20"/>
                <w:color w:val="auto"/>
              </w:rPr>
            </w:pPr>
            <w:r>
              <w:rPr>
                <w:rFonts w:ascii="Arial" w:cs="Arial" w:eastAsia="Arial" w:hAnsi="Arial"/>
                <w:sz w:val="20"/>
                <w:szCs w:val="20"/>
                <w:b w:val="1"/>
                <w:bCs w:val="1"/>
                <w:color w:val="auto"/>
                <w:w w:val="97"/>
              </w:rPr>
              <w:t>SECURITIES AND EXCHANGE COMMISSION</w:t>
            </w:r>
          </w:p>
        </w:tc>
        <w:tc>
          <w:tcPr>
            <w:tcW w:w="0" w:type="dxa"/>
            <w:vAlign w:val="bottom"/>
          </w:tcPr>
          <w:p>
            <w:pPr>
              <w:spacing w:after="0"/>
              <w:rPr>
                <w:sz w:val="1"/>
                <w:szCs w:val="1"/>
                <w:color w:val="auto"/>
              </w:rPr>
            </w:pPr>
          </w:p>
        </w:tc>
      </w:tr>
      <w:tr>
        <w:trPr>
          <w:trHeight w:val="246"/>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(Mark One)</w:t>
            </w:r>
          </w:p>
        </w:tc>
        <w:tc>
          <w:tcPr>
            <w:tcW w:w="5900" w:type="dxa"/>
            <w:vAlign w:val="bottom"/>
            <w:gridSpan w:val="4"/>
          </w:tcPr>
          <w:p>
            <w:pPr>
              <w:jc w:val="center"/>
              <w:ind w:left="2277"/>
              <w:spacing w:after="0"/>
              <w:rPr>
                <w:sz w:val="20"/>
                <w:szCs w:val="20"/>
                <w:color w:val="auto"/>
              </w:rPr>
            </w:pPr>
            <w:r>
              <w:rPr>
                <w:rFonts w:ascii="Arial" w:cs="Arial" w:eastAsia="Arial" w:hAnsi="Arial"/>
                <w:sz w:val="18"/>
                <w:szCs w:val="18"/>
                <w:b w:val="1"/>
                <w:bCs w:val="1"/>
                <w:color w:val="auto"/>
                <w:w w:val="98"/>
              </w:rPr>
              <w:t>Washington, D.C. 20549</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500" w:type="dxa"/>
            <w:vAlign w:val="bottom"/>
            <w:vMerge w:val="continue"/>
          </w:tcPr>
          <w:p>
            <w:pPr>
              <w:spacing w:after="0"/>
              <w:rPr>
                <w:sz w:val="15"/>
                <w:szCs w:val="15"/>
                <w:color w:val="auto"/>
              </w:rPr>
            </w:pPr>
          </w:p>
        </w:tc>
        <w:tc>
          <w:tcPr>
            <w:tcW w:w="5040" w:type="dxa"/>
            <w:vAlign w:val="bottom"/>
            <w:gridSpan w:val="2"/>
            <w:vMerge w:val="restart"/>
          </w:tcPr>
          <w:p>
            <w:pPr>
              <w:jc w:val="center"/>
              <w:ind w:left="3137"/>
              <w:spacing w:after="0"/>
              <w:rPr>
                <w:sz w:val="20"/>
                <w:szCs w:val="20"/>
                <w:color w:val="auto"/>
              </w:rPr>
            </w:pPr>
            <w:r>
              <w:rPr>
                <w:rFonts w:ascii="Arial" w:cs="Arial" w:eastAsia="Arial" w:hAnsi="Arial"/>
                <w:sz w:val="20"/>
                <w:szCs w:val="20"/>
                <w:b w:val="1"/>
                <w:bCs w:val="1"/>
                <w:color w:val="auto"/>
                <w:w w:val="98"/>
              </w:rPr>
              <w:t>FORM 10-K</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vMerge w:val="continue"/>
          </w:tcPr>
          <w:p>
            <w:pPr>
              <w:spacing w:after="0"/>
              <w:rPr>
                <w:sz w:val="17"/>
                <w:szCs w:val="17"/>
                <w:color w:val="auto"/>
              </w:rPr>
            </w:pPr>
          </w:p>
        </w:tc>
        <w:tc>
          <w:tcPr>
            <w:tcW w:w="7040" w:type="dxa"/>
            <w:vAlign w:val="bottom"/>
            <w:gridSpan w:val="6"/>
          </w:tcPr>
          <w:p>
            <w:pPr>
              <w:jc w:val="center"/>
              <w:ind w:left="997"/>
              <w:spacing w:after="0"/>
              <w:rPr>
                <w:sz w:val="20"/>
                <w:szCs w:val="20"/>
                <w:color w:val="auto"/>
              </w:rPr>
            </w:pPr>
            <w:r>
              <w:rPr>
                <w:rFonts w:ascii="Arial" w:cs="Arial" w:eastAsia="Arial" w:hAnsi="Arial"/>
                <w:sz w:val="16"/>
                <w:szCs w:val="16"/>
                <w:b w:val="1"/>
                <w:bCs w:val="1"/>
                <w:color w:val="auto"/>
              </w:rPr>
              <w:t>ANNUAL REPORT PURSUANT TO SECTION 13 OR 15(d) OF THE</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5900" w:type="dxa"/>
            <w:vAlign w:val="bottom"/>
            <w:gridSpan w:val="4"/>
          </w:tcPr>
          <w:p>
            <w:pPr>
              <w:jc w:val="center"/>
              <w:ind w:left="2137"/>
              <w:spacing w:after="0"/>
              <w:rPr>
                <w:sz w:val="20"/>
                <w:szCs w:val="20"/>
                <w:color w:val="auto"/>
              </w:rPr>
            </w:pPr>
            <w:r>
              <w:rPr>
                <w:rFonts w:ascii="Arial" w:cs="Arial" w:eastAsia="Arial" w:hAnsi="Arial"/>
                <w:sz w:val="16"/>
                <w:szCs w:val="16"/>
                <w:b w:val="1"/>
                <w:bCs w:val="1"/>
                <w:color w:val="auto"/>
              </w:rPr>
              <w:t>SECURITIES EXCHANGE ACT OF 1934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5900" w:type="dxa"/>
            <w:vAlign w:val="bottom"/>
            <w:gridSpan w:val="4"/>
          </w:tcPr>
          <w:p>
            <w:pPr>
              <w:jc w:val="center"/>
              <w:ind w:left="2277"/>
              <w:spacing w:after="0"/>
              <w:rPr>
                <w:sz w:val="20"/>
                <w:szCs w:val="20"/>
                <w:color w:val="auto"/>
              </w:rPr>
            </w:pPr>
            <w:r>
              <w:rPr>
                <w:rFonts w:ascii="Arial" w:cs="Arial" w:eastAsia="Arial" w:hAnsi="Arial"/>
                <w:sz w:val="16"/>
                <w:szCs w:val="16"/>
                <w:color w:val="auto"/>
              </w:rPr>
              <w:t>For the fiscal year ended December 31, 2025</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5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gridSpan w:val="2"/>
          </w:tcPr>
          <w:p>
            <w:pPr>
              <w:jc w:val="center"/>
              <w:ind w:left="3137"/>
              <w:spacing w:after="0"/>
              <w:rPr>
                <w:sz w:val="20"/>
                <w:szCs w:val="20"/>
                <w:color w:val="auto"/>
              </w:rPr>
            </w:pPr>
            <w:r>
              <w:rPr>
                <w:rFonts w:ascii="Arial" w:cs="Arial" w:eastAsia="Arial" w:hAnsi="Arial"/>
                <w:sz w:val="16"/>
                <w:szCs w:val="16"/>
                <w:color w:val="auto"/>
                <w:w w:val="98"/>
              </w:rPr>
              <w:t>or</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vMerge w:val="continue"/>
          </w:tcPr>
          <w:p>
            <w:pPr>
              <w:spacing w:after="0"/>
              <w:rPr>
                <w:sz w:val="17"/>
                <w:szCs w:val="17"/>
                <w:color w:val="auto"/>
              </w:rPr>
            </w:pPr>
          </w:p>
        </w:tc>
        <w:tc>
          <w:tcPr>
            <w:tcW w:w="7040" w:type="dxa"/>
            <w:vAlign w:val="bottom"/>
            <w:gridSpan w:val="6"/>
          </w:tcPr>
          <w:p>
            <w:pPr>
              <w:jc w:val="center"/>
              <w:ind w:left="957"/>
              <w:spacing w:after="0"/>
              <w:rPr>
                <w:sz w:val="20"/>
                <w:szCs w:val="20"/>
                <w:color w:val="auto"/>
              </w:rPr>
            </w:pPr>
            <w:r>
              <w:rPr>
                <w:rFonts w:ascii="Arial" w:cs="Arial" w:eastAsia="Arial" w:hAnsi="Arial"/>
                <w:sz w:val="16"/>
                <w:szCs w:val="16"/>
                <w:b w:val="1"/>
                <w:bCs w:val="1"/>
                <w:color w:val="auto"/>
              </w:rPr>
              <w:t>TRANSITION REPORT PURSUANT TO SECTION 13 OR 15(d) OF THE</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5900" w:type="dxa"/>
            <w:vAlign w:val="bottom"/>
            <w:gridSpan w:val="4"/>
          </w:tcPr>
          <w:p>
            <w:pPr>
              <w:jc w:val="center"/>
              <w:ind w:left="2137"/>
              <w:spacing w:after="0"/>
              <w:rPr>
                <w:sz w:val="20"/>
                <w:szCs w:val="20"/>
                <w:color w:val="auto"/>
              </w:rPr>
            </w:pPr>
            <w:r>
              <w:rPr>
                <w:rFonts w:ascii="Arial" w:cs="Arial" w:eastAsia="Arial" w:hAnsi="Arial"/>
                <w:sz w:val="16"/>
                <w:szCs w:val="16"/>
                <w:b w:val="1"/>
                <w:bCs w:val="1"/>
                <w:color w:val="auto"/>
              </w:rPr>
              <w:t>SECURITIES EXCHANGE ACT OF 1934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4160" w:type="dxa"/>
            <w:vAlign w:val="bottom"/>
          </w:tcPr>
          <w:p>
            <w:pPr>
              <w:ind w:left="2040"/>
              <w:spacing w:after="0"/>
              <w:rPr>
                <w:sz w:val="20"/>
                <w:szCs w:val="20"/>
                <w:color w:val="auto"/>
              </w:rPr>
            </w:pPr>
            <w:r>
              <w:rPr>
                <w:rFonts w:ascii="Arial" w:cs="Arial" w:eastAsia="Arial" w:hAnsi="Arial"/>
                <w:sz w:val="16"/>
                <w:szCs w:val="16"/>
                <w:color w:val="auto"/>
              </w:rPr>
              <w:t>For the transition period from</w:t>
            </w:r>
          </w:p>
        </w:tc>
        <w:tc>
          <w:tcPr>
            <w:tcW w:w="880" w:type="dxa"/>
            <w:vAlign w:val="bottom"/>
            <w:tcBorders>
              <w:bottom w:val="single" w:sz="8" w:color="auto"/>
            </w:tcBorders>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to</w:t>
            </w: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Pr>
          <w:p>
            <w:pPr>
              <w:jc w:val="right"/>
              <w:ind w:right="790"/>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4"/>
                <w:szCs w:val="24"/>
                <w:color w:val="auto"/>
              </w:rPr>
            </w:pPr>
          </w:p>
        </w:tc>
        <w:tc>
          <w:tcPr>
            <w:tcW w:w="5900" w:type="dxa"/>
            <w:vAlign w:val="bottom"/>
            <w:gridSpan w:val="4"/>
          </w:tcPr>
          <w:p>
            <w:pPr>
              <w:jc w:val="center"/>
              <w:ind w:left="2257"/>
              <w:spacing w:after="0"/>
              <w:rPr>
                <w:sz w:val="20"/>
                <w:szCs w:val="20"/>
                <w:color w:val="auto"/>
              </w:rPr>
            </w:pPr>
            <w:r>
              <w:rPr>
                <w:rFonts w:ascii="Arial" w:cs="Arial" w:eastAsia="Arial" w:hAnsi="Arial"/>
                <w:sz w:val="16"/>
                <w:szCs w:val="16"/>
                <w:b w:val="1"/>
                <w:bCs w:val="1"/>
                <w:color w:val="auto"/>
              </w:rPr>
              <w:t>Commission File Number 001-07845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500" w:type="dxa"/>
            <w:vAlign w:val="bottom"/>
          </w:tcPr>
          <w:p>
            <w:pPr>
              <w:spacing w:after="0"/>
              <w:rPr>
                <w:sz w:val="24"/>
                <w:szCs w:val="24"/>
                <w:color w:val="auto"/>
              </w:rPr>
            </w:pPr>
          </w:p>
        </w:tc>
        <w:tc>
          <w:tcPr>
            <w:tcW w:w="7040" w:type="dxa"/>
            <w:vAlign w:val="bottom"/>
            <w:gridSpan w:val="6"/>
          </w:tcPr>
          <w:p>
            <w:pPr>
              <w:jc w:val="center"/>
              <w:ind w:left="1137"/>
              <w:spacing w:after="0"/>
              <w:rPr>
                <w:sz w:val="20"/>
                <w:szCs w:val="20"/>
                <w:color w:val="auto"/>
              </w:rPr>
            </w:pPr>
            <w:r>
              <w:rPr>
                <w:rFonts w:ascii="Arial" w:cs="Arial" w:eastAsia="Arial" w:hAnsi="Arial"/>
                <w:sz w:val="21"/>
                <w:szCs w:val="21"/>
                <w:b w:val="1"/>
                <w:bCs w:val="1"/>
                <w:color w:val="auto"/>
              </w:rPr>
              <w:t>LEGGETT &amp; PLATT, INCORPORATED</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5900" w:type="dxa"/>
            <w:vAlign w:val="bottom"/>
            <w:gridSpan w:val="4"/>
          </w:tcPr>
          <w:p>
            <w:pPr>
              <w:jc w:val="center"/>
              <w:ind w:left="2257"/>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500" w:type="dxa"/>
            <w:vAlign w:val="bottom"/>
          </w:tcPr>
          <w:p>
            <w:pPr>
              <w:spacing w:after="0"/>
              <w:rPr>
                <w:sz w:val="24"/>
                <w:szCs w:val="24"/>
                <w:color w:val="auto"/>
              </w:rPr>
            </w:pPr>
          </w:p>
        </w:tc>
        <w:tc>
          <w:tcPr>
            <w:tcW w:w="504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rPr>
              <w:t>Missouri</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44-0324630</w:t>
            </w:r>
          </w:p>
        </w:tc>
        <w:tc>
          <w:tcPr>
            <w:tcW w:w="0" w:type="dxa"/>
            <w:vAlign w:val="bottom"/>
          </w:tcPr>
          <w:p>
            <w:pPr>
              <w:spacing w:after="0"/>
              <w:rPr>
                <w:sz w:val="1"/>
                <w:szCs w:val="1"/>
                <w:color w:val="auto"/>
              </w:rPr>
            </w:pPr>
          </w:p>
        </w:tc>
      </w:tr>
      <w:tr>
        <w:trPr>
          <w:trHeight w:val="147"/>
        </w:trPr>
        <w:tc>
          <w:tcPr>
            <w:tcW w:w="1500" w:type="dxa"/>
            <w:vAlign w:val="bottom"/>
          </w:tcPr>
          <w:p>
            <w:pPr>
              <w:spacing w:after="0"/>
              <w:rPr>
                <w:sz w:val="12"/>
                <w:szCs w:val="12"/>
                <w:color w:val="auto"/>
              </w:rPr>
            </w:pPr>
          </w:p>
        </w:tc>
        <w:tc>
          <w:tcPr>
            <w:tcW w:w="5040" w:type="dxa"/>
            <w:vAlign w:val="bottom"/>
            <w:gridSpan w:val="2"/>
          </w:tcPr>
          <w:p>
            <w:pPr>
              <w:jc w:val="center"/>
              <w:ind w:right="1100"/>
              <w:spacing w:after="0" w:line="147" w:lineRule="exact"/>
              <w:rPr>
                <w:sz w:val="20"/>
                <w:szCs w:val="20"/>
                <w:color w:val="auto"/>
              </w:rPr>
            </w:pPr>
            <w:r>
              <w:rPr>
                <w:rFonts w:ascii="Arial" w:cs="Arial" w:eastAsia="Arial" w:hAnsi="Arial"/>
                <w:sz w:val="14"/>
                <w:szCs w:val="14"/>
                <w:color w:val="auto"/>
              </w:rPr>
              <w:t>(State or other jurisdiction of</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5040" w:type="dxa"/>
            <w:vAlign w:val="bottom"/>
            <w:gridSpan w:val="2"/>
          </w:tcPr>
          <w:p>
            <w:pPr>
              <w:jc w:val="center"/>
              <w:ind w:right="1100"/>
              <w:spacing w:after="0"/>
              <w:rPr>
                <w:sz w:val="20"/>
                <w:szCs w:val="20"/>
                <w:color w:val="auto"/>
              </w:rPr>
            </w:pPr>
            <w:r>
              <w:rPr>
                <w:rFonts w:ascii="Arial" w:cs="Arial" w:eastAsia="Arial" w:hAnsi="Arial"/>
                <w:sz w:val="14"/>
                <w:szCs w:val="14"/>
                <w:color w:val="auto"/>
              </w:rPr>
              <w:t>incorporation or organization)</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504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rPr>
              <w:t>1 Leggett Road</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5040" w:type="dxa"/>
            <w:vAlign w:val="bottom"/>
            <w:gridSpan w:val="2"/>
          </w:tcPr>
          <w:p>
            <w:pPr>
              <w:ind w:left="1200"/>
              <w:spacing w:after="0"/>
              <w:rPr>
                <w:sz w:val="20"/>
                <w:szCs w:val="20"/>
                <w:color w:val="auto"/>
              </w:rPr>
            </w:pPr>
            <w:r>
              <w:rPr>
                <w:rFonts w:ascii="Arial" w:cs="Arial" w:eastAsia="Arial" w:hAnsi="Arial"/>
                <w:sz w:val="16"/>
                <w:szCs w:val="16"/>
                <w:b w:val="1"/>
                <w:bCs w:val="1"/>
                <w:color w:val="auto"/>
              </w:rPr>
              <w:t>Carthage, Missouri</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64836</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5040" w:type="dxa"/>
            <w:vAlign w:val="bottom"/>
            <w:gridSpan w:val="2"/>
          </w:tcPr>
          <w:p>
            <w:pPr>
              <w:jc w:val="center"/>
              <w:ind w:right="1080"/>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(417) 358-8131</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4"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180" w:type="dxa"/>
            <w:vAlign w:val="bottom"/>
          </w:tcPr>
          <w:p>
            <w:pPr>
              <w:spacing w:after="0"/>
              <w:rPr>
                <w:sz w:val="14"/>
                <w:szCs w:val="14"/>
                <w:color w:val="auto"/>
              </w:rPr>
            </w:pPr>
          </w:p>
        </w:tc>
        <w:tc>
          <w:tcPr>
            <w:tcW w:w="33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Trading Symbol</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3"/>
        </w:trPr>
        <w:tc>
          <w:tcPr>
            <w:tcW w:w="2900" w:type="dxa"/>
            <w:vAlign w:val="bottom"/>
            <w:gridSpan w:val="3"/>
          </w:tcPr>
          <w:p>
            <w:pPr>
              <w:jc w:val="center"/>
              <w:ind w:right="700"/>
              <w:spacing w:after="0"/>
              <w:rPr>
                <w:sz w:val="20"/>
                <w:szCs w:val="20"/>
                <w:color w:val="auto"/>
              </w:rPr>
            </w:pPr>
            <w:r>
              <w:rPr>
                <w:rFonts w:ascii="Arial" w:cs="Arial" w:eastAsia="Arial" w:hAnsi="Arial"/>
                <w:sz w:val="16"/>
                <w:szCs w:val="16"/>
                <w:color w:val="auto"/>
              </w:rPr>
              <w:t>Common Stock, $.01 par value</w:t>
            </w:r>
          </w:p>
        </w:tc>
        <w:tc>
          <w:tcPr>
            <w:tcW w:w="700" w:type="dxa"/>
            <w:vAlign w:val="bottom"/>
          </w:tcPr>
          <w:p>
            <w:pPr>
              <w:spacing w:after="0"/>
              <w:rPr>
                <w:sz w:val="20"/>
                <w:szCs w:val="20"/>
                <w:color w:val="auto"/>
              </w:rPr>
            </w:pPr>
          </w:p>
        </w:tc>
        <w:tc>
          <w:tcPr>
            <w:tcW w:w="2600" w:type="dxa"/>
            <w:vAlign w:val="bottom"/>
            <w:gridSpan w:val="2"/>
          </w:tcPr>
          <w:p>
            <w:pPr>
              <w:jc w:val="center"/>
              <w:ind w:right="1560"/>
              <w:spacing w:after="0"/>
              <w:rPr>
                <w:sz w:val="20"/>
                <w:szCs w:val="20"/>
                <w:color w:val="auto"/>
              </w:rPr>
            </w:pPr>
            <w:r>
              <w:rPr>
                <w:rFonts w:ascii="Arial" w:cs="Arial" w:eastAsia="Arial" w:hAnsi="Arial"/>
                <w:sz w:val="16"/>
                <w:szCs w:val="16"/>
                <w:color w:val="auto"/>
                <w:w w:val="99"/>
              </w:rPr>
              <w:t>LEG</w:t>
            </w:r>
          </w:p>
        </w:tc>
        <w:tc>
          <w:tcPr>
            <w:tcW w:w="30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3" w:lineRule="exact"/>
        <w:rPr>
          <w:sz w:val="24"/>
          <w:szCs w:val="24"/>
          <w:color w:val="auto"/>
        </w:rPr>
      </w:pPr>
    </w:p>
    <w:p>
      <w:pPr>
        <w:spacing w:after="0" w:line="196" w:lineRule="exact"/>
        <w:tabs>
          <w:tab w:leader="none" w:pos="844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180"/>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00"/>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2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2140"/>
              <w:spacing w:after="0"/>
              <w:rPr>
                <w:sz w:val="20"/>
                <w:szCs w:val="20"/>
                <w:color w:val="auto"/>
              </w:rPr>
            </w:pPr>
            <w:r>
              <w:rPr>
                <w:rFonts w:ascii="Arial" w:cs="Arial" w:eastAsia="Arial" w:hAnsi="Arial"/>
                <w:sz w:val="15"/>
                <w:szCs w:val="15"/>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8"/>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272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2140"/>
              <w:spacing w:after="0"/>
              <w:rPr>
                <w:sz w:val="20"/>
                <w:szCs w:val="20"/>
                <w:color w:val="auto"/>
              </w:rPr>
            </w:pPr>
            <w:r>
              <w:rPr>
                <w:rFonts w:ascii="Arial" w:cs="Arial" w:eastAsia="Arial" w:hAnsi="Arial"/>
                <w:sz w:val="15"/>
                <w:szCs w:val="15"/>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20" w:type="dxa"/>
            <w:vAlign w:val="bottom"/>
          </w:tcPr>
          <w:p>
            <w:pPr>
              <w:ind w:left="2140"/>
              <w:spacing w:after="0"/>
              <w:rPr>
                <w:sz w:val="20"/>
                <w:szCs w:val="20"/>
                <w:color w:val="auto"/>
              </w:rPr>
            </w:pPr>
            <w:r>
              <w:rPr>
                <w:rFonts w:ascii="Arial" w:cs="Arial" w:eastAsia="Arial" w:hAnsi="Arial"/>
                <w:sz w:val="15"/>
                <w:szCs w:val="15"/>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60"/>
        <w:spacing w:after="0" w:line="20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0"/>
        <w:spacing w:after="0" w:line="25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6" w:lineRule="exact"/>
        <w:rPr>
          <w:sz w:val="24"/>
          <w:szCs w:val="24"/>
          <w:color w:val="auto"/>
        </w:rPr>
      </w:pPr>
    </w:p>
    <w:p>
      <w:pPr>
        <w:ind w:right="240"/>
        <w:spacing w:after="0" w:line="194"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4"/>
          <w:szCs w:val="24"/>
          <w:color w:val="auto"/>
        </w:rPr>
      </w:pPr>
    </w:p>
    <w:p>
      <w:pPr>
        <w:ind w:right="100"/>
        <w:spacing w:after="0" w:line="201"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040" w:val="left"/>
          <w:tab w:leader="none" w:pos="77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20" w:lineRule="exact"/>
        <w:rPr>
          <w:sz w:val="24"/>
          <w:szCs w:val="24"/>
          <w:color w:val="auto"/>
        </w:rPr>
      </w:pPr>
    </w:p>
    <w:p>
      <w:pPr>
        <w:spacing w:after="0" w:line="250" w:lineRule="auto"/>
        <w:rPr>
          <w:sz w:val="20"/>
          <w:szCs w:val="20"/>
          <w:color w:val="auto"/>
        </w:rPr>
      </w:pPr>
      <w:r>
        <w:rPr>
          <w:rFonts w:ascii="Arial" w:cs="Arial" w:eastAsia="Arial" w:hAnsi="Arial"/>
          <w:sz w:val="15"/>
          <w:szCs w:val="15"/>
          <w:color w:val="auto"/>
        </w:rPr>
        <w:t>The aggregate market value of the voting common stock held by non-affiliates of the registrant (based on the closing price of our common stock on the New York Stock Exchange) on June 30, 2025 was $1,182,418,000.</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There were 135,877,594 shares of the registrant’s common stock outstanding as of February 20, 2026.</w:t>
      </w:r>
    </w:p>
    <w:p>
      <w:pPr>
        <w:spacing w:after="0" w:line="15"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 w:lineRule="exact"/>
        <w:rPr>
          <w:sz w:val="24"/>
          <w:szCs w:val="24"/>
          <w:color w:val="auto"/>
        </w:rPr>
      </w:pPr>
    </w:p>
    <w:p>
      <w:pPr>
        <w:ind w:right="120"/>
        <w:spacing w:after="0" w:line="279" w:lineRule="auto"/>
        <w:rPr>
          <w:sz w:val="20"/>
          <w:szCs w:val="20"/>
          <w:color w:val="auto"/>
        </w:rPr>
      </w:pPr>
      <w:r>
        <w:rPr>
          <w:rFonts w:ascii="Arial" w:cs="Arial" w:eastAsia="Arial" w:hAnsi="Arial"/>
          <w:sz w:val="15"/>
          <w:szCs w:val="15"/>
          <w:color w:val="auto"/>
        </w:rPr>
        <w:t>Parts of Item 10, and all of Items 11, 12, 13 and 14 of Part III, are incorporated by reference from the Company's definitive Proxy Statement for the Annual Meeting of Shareholders to be held on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right="1960"/>
        <w:spacing w:after="0" w:line="276" w:lineRule="auto"/>
        <w:rPr>
          <w:sz w:val="20"/>
          <w:szCs w:val="20"/>
          <w:color w:val="auto"/>
        </w:rPr>
      </w:pPr>
      <w:r>
        <w:rPr>
          <w:rFonts w:ascii="Arial" w:cs="Arial" w:eastAsia="Arial" w:hAnsi="Arial"/>
          <w:sz w:val="30"/>
          <w:szCs w:val="30"/>
          <w:b w:val="1"/>
          <w:bCs w:val="1"/>
          <w:color w:val="auto"/>
        </w:rPr>
        <w:t xml:space="preserve">LEGGETT &amp; PLATT, INCORPORATED—FORM 10-K FOR THE YEAR ENDED DECEMBER 31, 2025 </w:t>
      </w:r>
      <w:r>
        <w:rPr>
          <w:rFonts w:ascii="Arial" w:cs="Arial" w:eastAsia="Arial" w:hAnsi="Arial"/>
          <w:sz w:val="30"/>
          <w:szCs w:val="30"/>
          <w:b w:val="1"/>
          <w:bCs w:val="1"/>
          <w:u w:val="single" w:color="auto"/>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0300" w:type="dxa"/>
            <w:vAlign w:val="bottom"/>
            <w:tcBorders>
              <w:top w:val="single" w:sz="8" w:color="CCEEFF"/>
            </w:tcBorders>
            <w:gridSpan w:val="29"/>
            <w:shd w:val="clear" w:color="auto" w:fill="CCEEFF"/>
          </w:tcPr>
          <w:p>
            <w:pPr>
              <w:spacing w:after="0" w:line="148" w:lineRule="exact"/>
              <w:rPr>
                <w:sz w:val="20"/>
                <w:szCs w:val="20"/>
                <w:color w:val="auto"/>
              </w:rPr>
            </w:pPr>
            <w:r>
              <w:rPr>
                <w:rFonts w:ascii="Arial" w:cs="Arial" w:eastAsia="Arial" w:hAnsi="Arial"/>
                <w:sz w:val="17"/>
                <w:szCs w:val="17"/>
                <w:b w:val="1"/>
                <w:bCs w:val="1"/>
                <w:color w:val="0000FF"/>
              </w:rPr>
              <w:t>Forward-Looking Statements</w:t>
            </w:r>
          </w:p>
        </w:tc>
        <w:tc>
          <w:tcPr>
            <w:tcW w:w="840" w:type="dxa"/>
            <w:vAlign w:val="bottom"/>
            <w:tcBorders>
              <w:top w:val="single" w:sz="8" w:color="auto"/>
            </w:tcBorders>
            <w:gridSpan w:val="4"/>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0000FF"/>
              </w:rPr>
              <w:t>1</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160" w:type="dxa"/>
            <w:vAlign w:val="bottom"/>
            <w:tcBorders>
              <w:top w:val="single" w:sz="8" w:color="CCEEFF"/>
            </w:tcBorders>
            <w:gridSpan w:val="10"/>
          </w:tcPr>
          <w:p>
            <w:pPr>
              <w:jc w:val="center"/>
              <w:ind w:right="4320"/>
              <w:spacing w:after="0"/>
              <w:rPr>
                <w:sz w:val="20"/>
                <w:szCs w:val="20"/>
                <w:color w:val="auto"/>
              </w:rPr>
            </w:pPr>
            <w:r>
              <w:rPr>
                <w:rFonts w:ascii="Arial" w:cs="Arial" w:eastAsia="Arial" w:hAnsi="Arial"/>
                <w:sz w:val="25"/>
                <w:szCs w:val="25"/>
                <w:b w:val="1"/>
                <w:bCs w:val="1"/>
                <w:color w:val="auto"/>
                <w:w w:val="97"/>
              </w:rPr>
              <w:t>PART I</w:t>
            </w: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w:t>
            </w:r>
          </w:p>
        </w:tc>
        <w:tc>
          <w:tcPr>
            <w:tcW w:w="800" w:type="dxa"/>
            <w:vAlign w:val="bottom"/>
            <w:shd w:val="clear" w:color="auto" w:fill="CCEEFF"/>
          </w:tcPr>
          <w:p>
            <w:pPr>
              <w:spacing w:after="0" w:line="188" w:lineRule="exact"/>
              <w:rPr>
                <w:sz w:val="20"/>
                <w:szCs w:val="20"/>
                <w:color w:val="auto"/>
              </w:rPr>
            </w:pPr>
            <w:r>
              <w:rPr>
                <w:rFonts w:ascii="Arial" w:cs="Arial" w:eastAsia="Arial" w:hAnsi="Arial"/>
                <w:sz w:val="18"/>
                <w:szCs w:val="18"/>
                <w:b w:val="1"/>
                <w:bCs w:val="1"/>
                <w:color w:val="0000FF"/>
                <w:w w:val="97"/>
              </w:rPr>
              <w:t>Business</w:t>
            </w:r>
          </w:p>
        </w:tc>
        <w:tc>
          <w:tcPr>
            <w:tcW w:w="8100" w:type="dxa"/>
            <w:vAlign w:val="bottom"/>
            <w:gridSpan w:val="26"/>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3</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1A.</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Risk Factors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1B.</w:t>
            </w:r>
          </w:p>
        </w:tc>
        <w:tc>
          <w:tcPr>
            <w:tcW w:w="2400" w:type="dxa"/>
            <w:vAlign w:val="bottom"/>
            <w:gridSpan w:val="14"/>
            <w:shd w:val="clear" w:color="auto" w:fill="CCEEFF"/>
          </w:tcPr>
          <w:p>
            <w:pPr>
              <w:spacing w:after="0" w:line="188" w:lineRule="exact"/>
              <w:rPr>
                <w:sz w:val="20"/>
                <w:szCs w:val="20"/>
                <w:color w:val="auto"/>
              </w:rPr>
            </w:pPr>
            <w:r>
              <w:rPr>
                <w:rFonts w:ascii="Arial" w:cs="Arial" w:eastAsia="Arial" w:hAnsi="Arial"/>
                <w:sz w:val="18"/>
                <w:szCs w:val="18"/>
                <w:b w:val="1"/>
                <w:bCs w:val="1"/>
                <w:color w:val="0000FF"/>
                <w:w w:val="98"/>
              </w:rPr>
              <w:t>Unresolved Staff Comments</w:t>
            </w:r>
          </w:p>
        </w:tc>
        <w:tc>
          <w:tcPr>
            <w:tcW w:w="6500" w:type="dxa"/>
            <w:vAlign w:val="bottom"/>
            <w:gridSpan w:val="13"/>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26</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1C.</w:t>
            </w:r>
          </w:p>
        </w:tc>
        <w:tc>
          <w:tcPr>
            <w:tcW w:w="2400" w:type="dxa"/>
            <w:vAlign w:val="bottom"/>
            <w:gridSpan w:val="14"/>
          </w:tcPr>
          <w:p>
            <w:pPr>
              <w:spacing w:after="0" w:line="188" w:lineRule="exact"/>
              <w:rPr>
                <w:sz w:val="20"/>
                <w:szCs w:val="20"/>
                <w:color w:val="auto"/>
              </w:rPr>
            </w:pPr>
            <w:r>
              <w:rPr>
                <w:rFonts w:ascii="Arial" w:cs="Arial" w:eastAsia="Arial" w:hAnsi="Arial"/>
                <w:sz w:val="18"/>
                <w:szCs w:val="18"/>
                <w:b w:val="1"/>
                <w:bCs w:val="1"/>
                <w:color w:val="0000FF"/>
              </w:rPr>
              <w:t>Cybersecurity</w:t>
            </w:r>
          </w:p>
        </w:tc>
        <w:tc>
          <w:tcPr>
            <w:tcW w:w="6500" w:type="dxa"/>
            <w:vAlign w:val="bottom"/>
            <w:gridSpan w:val="13"/>
          </w:tcPr>
          <w:p>
            <w:pPr>
              <w:spacing w:after="0"/>
              <w:rPr>
                <w:sz w:val="16"/>
                <w:szCs w:val="16"/>
                <w:color w:val="auto"/>
              </w:rPr>
            </w:pP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2.</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Properties</w:t>
            </w: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28</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3.</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Legal Proceedings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4.</w:t>
            </w:r>
          </w:p>
        </w:tc>
        <w:tc>
          <w:tcPr>
            <w:tcW w:w="2060" w:type="dxa"/>
            <w:vAlign w:val="bottom"/>
            <w:gridSpan w:val="11"/>
            <w:shd w:val="clear" w:color="auto" w:fill="CCEEFF"/>
          </w:tcPr>
          <w:p>
            <w:pPr>
              <w:spacing w:after="0" w:line="188" w:lineRule="exact"/>
              <w:rPr>
                <w:sz w:val="20"/>
                <w:szCs w:val="20"/>
                <w:color w:val="auto"/>
              </w:rPr>
            </w:pPr>
            <w:r>
              <w:rPr>
                <w:rFonts w:ascii="Arial" w:cs="Arial" w:eastAsia="Arial" w:hAnsi="Arial"/>
                <w:sz w:val="18"/>
                <w:szCs w:val="18"/>
                <w:b w:val="1"/>
                <w:bCs w:val="1"/>
                <w:color w:val="0000FF"/>
                <w:w w:val="98"/>
              </w:rPr>
              <w:t>Mine Safety Disclosures</w:t>
            </w:r>
          </w:p>
        </w:tc>
        <w:tc>
          <w:tcPr>
            <w:tcW w:w="6840" w:type="dxa"/>
            <w:vAlign w:val="bottom"/>
            <w:gridSpan w:val="16"/>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31</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Supp. Item.</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Information About Our Executive Officers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0" w:type="dxa"/>
            <w:vAlign w:val="bottom"/>
            <w:tcBorders>
              <w:right w:val="single" w:sz="8" w:color="CCEEFF"/>
            </w:tcBorders>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380" w:type="dxa"/>
            <w:vAlign w:val="bottom"/>
            <w:gridSpan w:val="11"/>
            <w:shd w:val="clear" w:color="auto" w:fill="CCEEFF"/>
          </w:tcPr>
          <w:p>
            <w:pPr>
              <w:jc w:val="center"/>
              <w:ind w:right="4100"/>
              <w:spacing w:after="0"/>
              <w:rPr>
                <w:sz w:val="20"/>
                <w:szCs w:val="20"/>
                <w:color w:val="auto"/>
              </w:rPr>
            </w:pPr>
            <w:r>
              <w:rPr>
                <w:rFonts w:ascii="Arial" w:cs="Arial" w:eastAsia="Arial" w:hAnsi="Arial"/>
                <w:sz w:val="25"/>
                <w:szCs w:val="25"/>
                <w:b w:val="1"/>
                <w:bCs w:val="1"/>
                <w:color w:val="auto"/>
                <w:w w:val="98"/>
              </w:rPr>
              <w:t>PART II</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5.</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Market for Registrant’s Common Equity, Related Stockholder Matters and Issuer Purchases of Equity</w:t>
            </w:r>
          </w:p>
        </w:tc>
        <w:tc>
          <w:tcPr>
            <w:tcW w:w="8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top w:val="single" w:sz="8" w:color="0000FF"/>
            </w:tcBorders>
            <w:gridSpan w:val="2"/>
          </w:tcPr>
          <w:p>
            <w:pPr>
              <w:spacing w:after="0" w:line="141" w:lineRule="exact"/>
              <w:rPr>
                <w:sz w:val="20"/>
                <w:szCs w:val="20"/>
                <w:color w:val="auto"/>
              </w:rPr>
            </w:pPr>
            <w:r>
              <w:rPr>
                <w:rFonts w:ascii="Arial" w:cs="Arial" w:eastAsia="Arial" w:hAnsi="Arial"/>
                <w:sz w:val="16"/>
                <w:szCs w:val="16"/>
                <w:b w:val="1"/>
                <w:bCs w:val="1"/>
                <w:color w:val="0000FF"/>
              </w:rPr>
              <w:t>Securities</w:t>
            </w:r>
          </w:p>
        </w:tc>
        <w:tc>
          <w:tcPr>
            <w:tcW w:w="7700" w:type="dxa"/>
            <w:vAlign w:val="bottom"/>
            <w:tcBorders>
              <w:top w:val="single" w:sz="8" w:color="0000FF"/>
            </w:tcBorders>
            <w:gridSpan w:val="24"/>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Borders>
              <w:right w:val="single" w:sz="8" w:color="CCEEFF"/>
            </w:tcBorders>
          </w:tcPr>
          <w:p>
            <w:pPr>
              <w:spacing w:after="0"/>
              <w:rPr>
                <w:sz w:val="17"/>
                <w:szCs w:val="17"/>
                <w:color w:val="auto"/>
              </w:rPr>
            </w:pPr>
          </w:p>
        </w:tc>
        <w:tc>
          <w:tcPr>
            <w:tcW w:w="1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Item 6.</w:t>
            </w:r>
          </w:p>
        </w:tc>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0000FF"/>
              </w:rPr>
              <w:t>Reserved</w:t>
            </w:r>
          </w:p>
        </w:tc>
        <w:tc>
          <w:tcPr>
            <w:tcW w:w="8040" w:type="dxa"/>
            <w:vAlign w:val="bottom"/>
            <w:gridSpan w:val="25"/>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0000FF"/>
              </w:rPr>
              <w:t>34</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7.</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7A.</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64</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8.</w:t>
            </w:r>
          </w:p>
        </w:tc>
        <w:tc>
          <w:tcPr>
            <w:tcW w:w="5040" w:type="dxa"/>
            <w:vAlign w:val="bottom"/>
            <w:gridSpan w:val="20"/>
          </w:tcPr>
          <w:p>
            <w:pPr>
              <w:spacing w:after="0" w:line="188" w:lineRule="exact"/>
              <w:rPr>
                <w:sz w:val="20"/>
                <w:szCs w:val="20"/>
                <w:color w:val="auto"/>
              </w:rPr>
            </w:pPr>
            <w:r>
              <w:rPr>
                <w:rFonts w:ascii="Arial" w:cs="Arial" w:eastAsia="Arial" w:hAnsi="Arial"/>
                <w:sz w:val="18"/>
                <w:szCs w:val="18"/>
                <w:b w:val="1"/>
                <w:bCs w:val="1"/>
                <w:color w:val="0000FF"/>
              </w:rPr>
              <w:t>Financial Statements and Supplementary Data</w:t>
            </w:r>
          </w:p>
        </w:tc>
        <w:tc>
          <w:tcPr>
            <w:tcW w:w="3860" w:type="dxa"/>
            <w:vAlign w:val="bottom"/>
            <w:gridSpan w:val="7"/>
          </w:tcPr>
          <w:p>
            <w:pPr>
              <w:spacing w:after="0"/>
              <w:rPr>
                <w:sz w:val="16"/>
                <w:szCs w:val="16"/>
                <w:color w:val="auto"/>
              </w:rPr>
            </w:pP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65</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9A.</w:t>
            </w:r>
          </w:p>
        </w:tc>
        <w:tc>
          <w:tcPr>
            <w:tcW w:w="7680" w:type="dxa"/>
            <w:vAlign w:val="bottom"/>
            <w:gridSpan w:val="24"/>
          </w:tcPr>
          <w:p>
            <w:pPr>
              <w:spacing w:after="0" w:line="188" w:lineRule="exact"/>
              <w:rPr>
                <w:sz w:val="20"/>
                <w:szCs w:val="20"/>
                <w:color w:val="auto"/>
              </w:rPr>
            </w:pPr>
            <w:r>
              <w:rPr>
                <w:rFonts w:ascii="Arial" w:cs="Arial" w:eastAsia="Arial" w:hAnsi="Arial"/>
                <w:sz w:val="18"/>
                <w:szCs w:val="18"/>
                <w:b w:val="1"/>
                <w:bCs w:val="1"/>
                <w:color w:val="0000FF"/>
              </w:rPr>
              <w:t>Controls and Procedures</w:t>
            </w:r>
          </w:p>
        </w:tc>
        <w:tc>
          <w:tcPr>
            <w:tcW w:w="1220" w:type="dxa"/>
            <w:vAlign w:val="bottom"/>
            <w:gridSpan w:val="3"/>
          </w:tcPr>
          <w:p>
            <w:pPr>
              <w:spacing w:after="0"/>
              <w:rPr>
                <w:sz w:val="16"/>
                <w:szCs w:val="16"/>
                <w:color w:val="auto"/>
              </w:rPr>
            </w:pP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9B.</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Other Information</w:t>
            </w: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66</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9C.</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0" w:type="dxa"/>
            <w:vAlign w:val="bottom"/>
            <w:tcBorders>
              <w:right w:val="single" w:sz="8" w:color="CCEEFF"/>
            </w:tcBorders>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380" w:type="dxa"/>
            <w:vAlign w:val="bottom"/>
            <w:gridSpan w:val="11"/>
            <w:shd w:val="clear" w:color="auto" w:fill="CCEEFF"/>
          </w:tcPr>
          <w:p>
            <w:pPr>
              <w:jc w:val="center"/>
              <w:ind w:right="4080"/>
              <w:spacing w:after="0"/>
              <w:rPr>
                <w:sz w:val="20"/>
                <w:szCs w:val="20"/>
                <w:color w:val="auto"/>
              </w:rPr>
            </w:pPr>
            <w:r>
              <w:rPr>
                <w:rFonts w:ascii="Arial" w:cs="Arial" w:eastAsia="Arial" w:hAnsi="Arial"/>
                <w:sz w:val="25"/>
                <w:szCs w:val="25"/>
                <w:b w:val="1"/>
                <w:bCs w:val="1"/>
                <w:color w:val="auto"/>
                <w:w w:val="98"/>
              </w:rPr>
              <w:t>PART III</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10.</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Directors, Executive Officers and Corporate Governance</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11.</w:t>
            </w:r>
          </w:p>
        </w:tc>
        <w:tc>
          <w:tcPr>
            <w:tcW w:w="8900" w:type="dxa"/>
            <w:vAlign w:val="bottom"/>
            <w:gridSpan w:val="27"/>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Executive Compensation</w:t>
            </w: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70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12.</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Security Ownership of Certain Beneficial Owners and Management and Related Stockholder Matters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Item 13.</w:t>
            </w:r>
          </w:p>
        </w:tc>
        <w:tc>
          <w:tcPr>
            <w:tcW w:w="6460" w:type="dxa"/>
            <w:vAlign w:val="bottom"/>
            <w:gridSpan w:val="22"/>
            <w:shd w:val="clear" w:color="auto" w:fill="CCEEFF"/>
          </w:tcPr>
          <w:p>
            <w:pPr>
              <w:spacing w:after="0" w:line="188" w:lineRule="exact"/>
              <w:rPr>
                <w:sz w:val="20"/>
                <w:szCs w:val="20"/>
                <w:color w:val="auto"/>
              </w:rPr>
            </w:pPr>
            <w:r>
              <w:rPr>
                <w:rFonts w:ascii="Arial" w:cs="Arial" w:eastAsia="Arial" w:hAnsi="Arial"/>
                <w:sz w:val="18"/>
                <w:szCs w:val="18"/>
                <w:b w:val="1"/>
                <w:bCs w:val="1"/>
                <w:color w:val="0000FF"/>
                <w:w w:val="98"/>
              </w:rPr>
              <w:t>Certain Relationships and Related Transactions, and Director Independence</w:t>
            </w:r>
          </w:p>
        </w:tc>
        <w:tc>
          <w:tcPr>
            <w:tcW w:w="2440" w:type="dxa"/>
            <w:vAlign w:val="bottom"/>
            <w:gridSpan w:val="5"/>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71</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14.</w:t>
            </w:r>
          </w:p>
        </w:tc>
        <w:tc>
          <w:tcPr>
            <w:tcW w:w="6460" w:type="dxa"/>
            <w:vAlign w:val="bottom"/>
            <w:gridSpan w:val="22"/>
          </w:tcPr>
          <w:p>
            <w:pPr>
              <w:spacing w:after="0" w:line="188" w:lineRule="exact"/>
              <w:rPr>
                <w:sz w:val="20"/>
                <w:szCs w:val="20"/>
                <w:color w:val="auto"/>
              </w:rPr>
            </w:pPr>
            <w:r>
              <w:rPr>
                <w:rFonts w:ascii="Arial" w:cs="Arial" w:eastAsia="Arial" w:hAnsi="Arial"/>
                <w:sz w:val="18"/>
                <w:szCs w:val="18"/>
                <w:b w:val="1"/>
                <w:bCs w:val="1"/>
                <w:color w:val="0000FF"/>
              </w:rPr>
              <w:t>Principal Accountant Fees and Services</w:t>
            </w:r>
          </w:p>
        </w:tc>
        <w:tc>
          <w:tcPr>
            <w:tcW w:w="2440" w:type="dxa"/>
            <w:vAlign w:val="bottom"/>
            <w:gridSpan w:val="5"/>
          </w:tcPr>
          <w:p>
            <w:pPr>
              <w:spacing w:after="0"/>
              <w:rPr>
                <w:sz w:val="16"/>
                <w:szCs w:val="16"/>
                <w:color w:val="auto"/>
              </w:rPr>
            </w:pP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0" w:type="dxa"/>
            <w:vAlign w:val="bottom"/>
            <w:tcBorders>
              <w:right w:val="single" w:sz="8" w:color="CCEEFF"/>
            </w:tcBorders>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380" w:type="dxa"/>
            <w:vAlign w:val="bottom"/>
            <w:gridSpan w:val="11"/>
            <w:shd w:val="clear" w:color="auto" w:fill="CCEEFF"/>
          </w:tcPr>
          <w:p>
            <w:pPr>
              <w:jc w:val="center"/>
              <w:ind w:right="4100"/>
              <w:spacing w:after="0"/>
              <w:rPr>
                <w:sz w:val="20"/>
                <w:szCs w:val="20"/>
                <w:color w:val="auto"/>
              </w:rPr>
            </w:pPr>
            <w:r>
              <w:rPr>
                <w:rFonts w:ascii="Arial" w:cs="Arial" w:eastAsia="Arial" w:hAnsi="Arial"/>
                <w:sz w:val="25"/>
                <w:szCs w:val="25"/>
                <w:b w:val="1"/>
                <w:bCs w:val="1"/>
                <w:color w:val="auto"/>
                <w:w w:val="97"/>
              </w:rPr>
              <w:t>PART IV</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15.</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Exhibits and Financial Statement Schedules</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gridSpan w:val="6"/>
            <w:shd w:val="clear" w:color="auto" w:fill="CCEEFF"/>
          </w:tcPr>
          <w:p>
            <w:pPr>
              <w:spacing w:after="0" w:line="188" w:lineRule="exact"/>
              <w:rPr>
                <w:sz w:val="20"/>
                <w:szCs w:val="20"/>
                <w:color w:val="auto"/>
              </w:rPr>
            </w:pPr>
            <w:r>
              <w:rPr>
                <w:rFonts w:ascii="Arial" w:cs="Arial" w:eastAsia="Arial" w:hAnsi="Arial"/>
                <w:sz w:val="18"/>
                <w:szCs w:val="18"/>
                <w:b w:val="1"/>
                <w:bCs w:val="1"/>
                <w:color w:val="0000FF"/>
                <w:w w:val="98"/>
              </w:rPr>
              <w:t>Exhibit Index</w:t>
            </w:r>
          </w:p>
        </w:tc>
        <w:tc>
          <w:tcPr>
            <w:tcW w:w="7780" w:type="dxa"/>
            <w:vAlign w:val="bottom"/>
            <w:gridSpan w:val="21"/>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124</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400" w:type="dxa"/>
            <w:vAlign w:val="bottom"/>
            <w:gridSpan w:val="2"/>
          </w:tcPr>
          <w:p>
            <w:pPr>
              <w:spacing w:after="0" w:line="188" w:lineRule="exact"/>
              <w:rPr>
                <w:sz w:val="20"/>
                <w:szCs w:val="20"/>
                <w:color w:val="auto"/>
              </w:rPr>
            </w:pPr>
            <w:r>
              <w:rPr>
                <w:rFonts w:ascii="Arial" w:cs="Arial" w:eastAsia="Arial" w:hAnsi="Arial"/>
                <w:sz w:val="18"/>
                <w:szCs w:val="18"/>
                <w:b w:val="1"/>
                <w:bCs w:val="1"/>
                <w:color w:val="auto"/>
              </w:rPr>
              <w:t>Item 16.</w:t>
            </w:r>
          </w:p>
        </w:tc>
        <w:tc>
          <w:tcPr>
            <w:tcW w:w="8900" w:type="dxa"/>
            <w:vAlign w:val="bottom"/>
            <w:gridSpan w:val="27"/>
          </w:tcPr>
          <w:p>
            <w:pPr>
              <w:spacing w:after="0" w:line="188" w:lineRule="exact"/>
              <w:rPr>
                <w:sz w:val="20"/>
                <w:szCs w:val="20"/>
                <w:color w:val="auto"/>
              </w:rPr>
            </w:pPr>
            <w:r>
              <w:rPr>
                <w:rFonts w:ascii="Arial" w:cs="Arial" w:eastAsia="Arial" w:hAnsi="Arial"/>
                <w:sz w:val="18"/>
                <w:szCs w:val="18"/>
                <w:b w:val="1"/>
                <w:bCs w:val="1"/>
                <w:color w:val="0000FF"/>
              </w:rPr>
              <w:t>Form 10-K Summary</w:t>
            </w:r>
          </w:p>
        </w:tc>
        <w:tc>
          <w:tcPr>
            <w:tcW w:w="840" w:type="dxa"/>
            <w:vAlign w:val="bottom"/>
            <w:gridSpan w:val="4"/>
          </w:tcPr>
          <w:p>
            <w:pPr>
              <w:jc w:val="right"/>
              <w:spacing w:after="0" w:line="188" w:lineRule="exact"/>
              <w:rPr>
                <w:sz w:val="20"/>
                <w:szCs w:val="20"/>
                <w:color w:val="auto"/>
              </w:rPr>
            </w:pPr>
            <w:r>
              <w:rPr>
                <w:rFonts w:ascii="Arial" w:cs="Arial" w:eastAsia="Arial" w:hAnsi="Arial"/>
                <w:sz w:val="18"/>
                <w:szCs w:val="18"/>
                <w:b w:val="1"/>
                <w:bCs w:val="1"/>
                <w:color w:val="0000FF"/>
              </w:rPr>
              <w:t>127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0000FF"/>
              </w:rPr>
              <w:t>Signatures</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0000FF"/>
              </w:rPr>
              <w:t>128</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60" w:type="dxa"/>
            <w:vAlign w:val="bottom"/>
            <w:tcBorders>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Forward-Looking Statements</w:t>
      </w:r>
    </w:p>
    <w:p>
      <w:pPr>
        <w:spacing w:after="0" w:line="115" w:lineRule="exact"/>
        <w:rPr>
          <w:sz w:val="20"/>
          <w:szCs w:val="20"/>
          <w:color w:val="auto"/>
        </w:rPr>
      </w:pPr>
    </w:p>
    <w:p>
      <w:pPr>
        <w:ind w:right="20" w:firstLine="402"/>
        <w:spacing w:after="0" w:line="250" w:lineRule="auto"/>
        <w:rPr>
          <w:sz w:val="20"/>
          <w:szCs w:val="20"/>
          <w:color w:val="auto"/>
        </w:rPr>
      </w:pPr>
      <w:r>
        <w:rPr>
          <w:rFonts w:ascii="Arial" w:cs="Arial" w:eastAsia="Arial" w:hAnsi="Arial"/>
          <w:sz w:val="18"/>
          <w:szCs w:val="18"/>
          <w:color w:val="auto"/>
        </w:rPr>
        <w:t>This Annual Report on Form 10-K, as well as the documents, or portion thereof, incorporated by reference herein, may contain “forward-looking” statements within the meaning of Section 27A of the Securities Act of 1933, as amended, and Section 21E of the Securities Exchange Act of 1934, as amended, including, but not limited to: discussions with Somnigroup International Inc. (Somnigroup); projections of our revenue, capital expenditures, product demand, capital structure, cash flows, interest costs, stock repurchases, tax impacts, effective tax rate, maintenance of commercial paper indebtedness, legal expense, acquisition or disposition activity, collectability of receivables, ability to issue debt, cybersecurity protections and costs, cash expenditures, uses of cash, our technological competitiveness, compiling a GHG emissions inventory, hedge accounting treatment, industry demand projections, growth of Chinese EV manufacturers and multinational OEM market share challenges, impact of accounts receivable and payable programs, access to liquidity and the commercial paper market, compliance with debt covenants, raw material and parts availability and pricing, supply chain disruptions, labor, raw material and part shortages, emissions reduction targets and costs, goodwill or other asset impairment; possible plans, goals, objectives, prospects, strategies, or trends concerning future operations; statements concerning future economic performance; items related to restructuring, such as estimates of the amounts, types, and timing of facility closures, restructuring-related costs (cash and non-cash) and impairment charges, sales attrition, proceeds from the sale of facilities, and EBIT benefit; and the underlying assumptions relating to forward-looking statements. These statements are identified by the context in which they appear or words such as “anticipate,” “believe,” “estimate,” “expect,” “guidance,” “intend,” “may,” “plan,” or the like. All such forward-looking statements, whether written or oral, and whether made by us or on our behalf, are expressly qualified by the cautionary statements described in this provision.</w:t>
      </w:r>
    </w:p>
    <w:p>
      <w:pPr>
        <w:spacing w:after="0" w:line="76"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Any forward-looking statement reflects only the beliefs of Leggett &amp; Platt or its management at the time the statement is made. Because all forward-looking statements deal with the future, they are subject to risks, uncertainties, and developments, which might cause actual events or results to differ materially from those envisioned or reflected in any forward-looking statement. Moreover, we do not have and do not undertake any duty to update or revise any forward-looking statement to reflect events or circumstances after the date on which the statement was made. For all of these reasons, forward-looking statements should not be relied upon as a prediction of actual future events, objectives, strategies, trends, or results.</w:t>
      </w:r>
    </w:p>
    <w:p>
      <w:pPr>
        <w:spacing w:after="0" w:line="4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Listed below and discussed elsewhere in further detail in this Annual Report on Form 10-K, including in Item 1A. Risk Factors herein, are some important risks, uncertainties, and contingencies that could cause actual events or results to differ materially from forward-looking statements. It is not possible to anticipate and list all of the risks, uncertainties, and contingencies which could cause actual events or results to differ from forward-looking statements. However, some of these risks and uncertainties include the following:</w:t>
      </w:r>
    </w:p>
    <w:p>
      <w:pPr>
        <w:spacing w:after="0" w:line="58" w:lineRule="exact"/>
        <w:rPr>
          <w:sz w:val="20"/>
          <w:szCs w:val="20"/>
          <w:color w:val="auto"/>
        </w:rPr>
      </w:pPr>
    </w:p>
    <w:p>
      <w:pPr>
        <w:jc w:val="both"/>
        <w:ind w:left="320" w:hanging="232"/>
        <w:spacing w:after="0" w:line="259"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our strategic review process and any potential transaction between the Company and Somnigroup, including the impact on our stock price, business, and the timeline for the completion of the review process, which is unknown and may not result in the completion of any transaction;</w:t>
      </w:r>
    </w:p>
    <w:p>
      <w:pPr>
        <w:ind w:left="320" w:right="40" w:hanging="232"/>
        <w:spacing w:after="0" w:line="272"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restructuring activities, including changes to certain estimates relating to cash and non-cash costs, EBIT benefit, sales attrition, and the sale of real estate, stakeholder impacts and other restructuring costs;</w:t>
      </w: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demand, growth rates, and reduced opportunities in the industries in which we participate;</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consumer confidence, housing turnover, employment levels, interest rates, and trends in capital spending;</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business with customers;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tariff-related cost increases and demand impacts, and changes to the reciprocal tariff exemption for USMCA compliant products;</w:t>
      </w:r>
    </w:p>
    <w:p>
      <w:pPr>
        <w:spacing w:after="0" w:line="47" w:lineRule="exact"/>
        <w:rPr>
          <w:rFonts w:ascii="Arial" w:cs="Arial" w:eastAsia="Arial" w:hAnsi="Arial"/>
          <w:sz w:val="18"/>
          <w:szCs w:val="18"/>
          <w:color w:val="auto"/>
        </w:rPr>
      </w:pPr>
    </w:p>
    <w:p>
      <w:pPr>
        <w:ind w:left="320" w:right="340" w:hanging="232"/>
        <w:spacing w:after="0" w:line="264"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supply chain disruption from fire, explosion, terrorism, geopolitical conflicts, government action, labor strikes, delivery port shutdowns, trade tensions, trucking constraints, pandemics, vendor quality issues, and non-compliance with laws;</w:t>
      </w:r>
    </w:p>
    <w:p>
      <w:pPr>
        <w:ind w:left="320" w:hanging="23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47" w:lineRule="exact"/>
        <w:rPr>
          <w:rFonts w:ascii="Arial" w:cs="Arial" w:eastAsia="Arial" w:hAnsi="Arial"/>
          <w:sz w:val="18"/>
          <w:szCs w:val="18"/>
          <w:color w:val="auto"/>
        </w:rPr>
      </w:pPr>
    </w:p>
    <w:p>
      <w:pPr>
        <w:ind w:left="320" w:right="180" w:hanging="232"/>
        <w:spacing w:after="0" w:line="272"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our Automotive products due to the growth of Chinese EV manufacturers and declines in market share among multinational OEMs;</w:t>
      </w:r>
    </w:p>
    <w:p>
      <w:pPr>
        <w:ind w:left="320" w:right="560" w:hanging="232"/>
        <w:spacing w:after="0" w:line="282"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commercial paper and debt market access and increased borrowing costs due to credit rating changes, and our ability to reduce or maintain current debt levels;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credit facility access and covenant compliance;</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working capital;</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inability to pay us and take delivery of previously ordered inventory;</w:t>
      </w:r>
    </w:p>
    <w:p>
      <w:pPr>
        <w:spacing w:after="0" w:line="47" w:lineRule="exact"/>
        <w:rPr>
          <w:rFonts w:ascii="Arial" w:cs="Arial" w:eastAsia="Arial" w:hAnsi="Arial"/>
          <w:sz w:val="18"/>
          <w:szCs w:val="18"/>
          <w:color w:val="auto"/>
        </w:rPr>
      </w:pPr>
    </w:p>
    <w:p>
      <w:pPr>
        <w:ind w:left="320" w:right="18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inflationary and deflationary impacts on raw materials, wage rates and energy costs, and availability and pricing of steel scrap and rod, chemicals, and semiconductors;</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market share in goods and services we sell or provide;</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pass along cost increases through increased selling prices;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price and product pressures from Asian, European, Mexican, and domestic competitors;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profit margins if our customers change the quantity and mix of our products;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risk, legal and regulatory changes (including trade laws);</w:t>
      </w:r>
    </w:p>
    <w:p>
      <w:pPr>
        <w:spacing w:after="0" w:line="47" w:lineRule="exact"/>
        <w:rPr>
          <w:rFonts w:ascii="Arial" w:cs="Arial" w:eastAsia="Arial" w:hAnsi="Arial"/>
          <w:sz w:val="18"/>
          <w:szCs w:val="18"/>
          <w:color w:val="auto"/>
        </w:rPr>
      </w:pPr>
    </w:p>
    <w:p>
      <w:pPr>
        <w:ind w:left="320" w:right="50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realization of deferred tax assets and challenges to tax positions pursuant to ongoing or future reviews and audits in China and elsewhere;</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repatriation from foreign accounts;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enforcement of antidumping and countervailing duties on the import of innersprings, steel wire rod, and finished mattresses;</w:t>
      </w:r>
    </w:p>
    <w:p>
      <w:pPr>
        <w:spacing w:after="0" w:line="47" w:lineRule="exact"/>
        <w:rPr>
          <w:rFonts w:ascii="Arial" w:cs="Arial" w:eastAsia="Arial" w:hAnsi="Arial"/>
          <w:sz w:val="18"/>
          <w:szCs w:val="18"/>
          <w:color w:val="auto"/>
        </w:rPr>
      </w:pPr>
    </w:p>
    <w:p>
      <w:pPr>
        <w:ind w:left="320" w:right="54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disruption of the semiconductor industry and our global operations due to conflict between countries as well as evolving export controls over semiconductor chips, equipment, components and rare earth minerals;</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commercially viable and innovative products;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functioning of our internal business processes and information systems through technology failures;</w:t>
      </w:r>
    </w:p>
    <w:p>
      <w:pPr>
        <w:spacing w:after="0" w:line="47" w:lineRule="exact"/>
        <w:rPr>
          <w:rFonts w:ascii="Arial" w:cs="Arial" w:eastAsia="Arial" w:hAnsi="Arial"/>
          <w:sz w:val="18"/>
          <w:szCs w:val="18"/>
          <w:color w:val="auto"/>
        </w:rPr>
      </w:pPr>
    </w:p>
    <w:p>
      <w:pPr>
        <w:ind w:left="320" w:right="14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incidents on our business, supplier or customer relationships, cybersecurity protection and remediation costs, legal costs, insurance premiums, competitiveness, and reputation;</w:t>
      </w:r>
    </w:p>
    <w:p>
      <w:pPr>
        <w:ind w:left="320" w:hanging="232"/>
        <w:spacing w:after="0" w:line="264" w:lineRule="auto"/>
        <w:tabs>
          <w:tab w:leader="none" w:pos="31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the use of artificial intelligence could expose Company information, infringe intellectual property rights, violate privacy laws, and harm our reputation and competitive position;</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climate change and sustainability-related risks and costs;</w:t>
      </w:r>
    </w:p>
    <w:p>
      <w:pPr>
        <w:spacing w:after="0" w:line="47"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risks;</w:t>
      </w:r>
    </w:p>
    <w:p>
      <w:pPr>
        <w:spacing w:after="0" w:line="34" w:lineRule="exact"/>
        <w:rPr>
          <w:rFonts w:ascii="Arial" w:cs="Arial" w:eastAsia="Arial" w:hAnsi="Arial"/>
          <w:sz w:val="18"/>
          <w:szCs w:val="18"/>
          <w:color w:val="auto"/>
        </w:rPr>
      </w:pP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disruptions to our steel rod mill or wire drawing mills, including a lack of adequate supply of steel scrap;</w:t>
      </w:r>
    </w:p>
    <w:p>
      <w:pPr>
        <w:spacing w:after="0" w:line="47" w:lineRule="exact"/>
        <w:rPr>
          <w:rFonts w:ascii="Arial" w:cs="Arial" w:eastAsia="Arial" w:hAnsi="Arial"/>
          <w:sz w:val="18"/>
          <w:szCs w:val="18"/>
          <w:color w:val="auto"/>
        </w:rPr>
      </w:pPr>
    </w:p>
    <w:p>
      <w:pPr>
        <w:ind w:left="320" w:right="60" w:hanging="232"/>
        <w:spacing w:after="0" w:line="27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operating risks, including credit, intellectual property rights, exchange rates, labor strikes, customs rates, asset seizure, business licensing, land use requirements, and inconsistent enforcement of laws; and</w:t>
      </w:r>
    </w:p>
    <w:p>
      <w:pPr>
        <w:ind w:left="320" w:hanging="23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privacy and data protection regulations.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19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Summary</w:t>
      </w:r>
    </w:p>
    <w:p>
      <w:pPr>
        <w:spacing w:after="0" w:line="115" w:lineRule="exact"/>
        <w:rPr>
          <w:sz w:val="20"/>
          <w:szCs w:val="20"/>
          <w:color w:val="auto"/>
        </w:rPr>
      </w:pPr>
    </w:p>
    <w:p>
      <w:pPr>
        <w:ind w:right="160" w:firstLine="402"/>
        <w:spacing w:after="0" w:line="255" w:lineRule="auto"/>
        <w:rPr>
          <w:sz w:val="20"/>
          <w:szCs w:val="20"/>
          <w:color w:val="auto"/>
        </w:rPr>
      </w:pPr>
      <w:r>
        <w:rPr>
          <w:rFonts w:ascii="Arial" w:cs="Arial" w:eastAsia="Arial" w:hAnsi="Arial"/>
          <w:sz w:val="18"/>
          <w:szCs w:val="18"/>
          <w:color w:val="auto"/>
        </w:rPr>
        <w:t xml:space="preserve">Leggett &amp; Platt, Incorporated (Leggett &amp; Platt, Company, we, us, or our), a pioneer of the steel coil bedspring, is an international diversified manufacturer that conceives, designs, and produces a wide range of engineered components and products found in many homes and automobiles. As discussed below, our operations are organized into 13 business units, which are divided into six groups under our three segments: Bedding Products; Specialized Products; and Furniture, Flooring &amp; Textile Products. On August 29, 2025, we divested our Aerospace Products Group which was reported in our Specialized Products segment,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to the Consolidated Financial Statements on page 121, and under </w:t>
      </w:r>
      <w:r>
        <w:rPr>
          <w:rFonts w:ascii="Arial" w:cs="Arial" w:eastAsia="Arial" w:hAnsi="Arial"/>
          <w:sz w:val="18"/>
          <w:szCs w:val="18"/>
          <w:u w:val="single" w:color="auto"/>
          <w:color w:val="0000FF"/>
        </w:rPr>
        <w:t>Divestitures and Acquisitions</w:t>
      </w:r>
      <w:r>
        <w:rPr>
          <w:rFonts w:ascii="Arial" w:cs="Arial" w:eastAsia="Arial" w:hAnsi="Arial"/>
          <w:sz w:val="18"/>
          <w:szCs w:val="18"/>
          <w:color w:val="auto"/>
        </w:rPr>
        <w:t xml:space="preserve"> in Item 1. Business on page 6.</w:t>
      </w:r>
    </w:p>
    <w:p>
      <w:pPr>
        <w:spacing w:after="0" w:line="13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Overview of Our Segments</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Bedding Products Segment</w:t>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BEDDING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-129540</wp:posOffset>
            </wp:positionV>
            <wp:extent cx="3532505" cy="14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Steel Rod</w:t>
      </w:r>
    </w:p>
    <w:p>
      <w:pPr>
        <w:spacing w:after="0" w:line="4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Drawn Wire</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U.S. Spring</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Specialty Foam</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Adjustable Bed</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International Bedding</w:t>
      </w:r>
    </w:p>
    <w:p>
      <w:pPr>
        <w:spacing w:after="0" w:line="195"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Our Bedding Products segment has its roots in the Company's founding in 1883 with the manufacture of steel coil bedsprings. Today, we support our customers' product needs from raw materials to components to finished mattresses and foundations and provide distribution and fulfillment capabilities. Our industry-leading innerspring and specialty foam technologies, innovative product development, and vertical integration allow us to create value for our customers at each step, from raw material to end consumer.</w:t>
      </w:r>
    </w:p>
    <w:p>
      <w:pPr>
        <w:spacing w:after="0" w:line="58"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We operate a steel rod mill in the United States with annual capacity of approximately 500,000 tons. Approximately half of the rod mill's output is used internally by our wire drawing mills to supply virtually all of the wire consumed by our domestic innerspring operations and other businesses. We also supply steel rod and wire to trade customers that operate in a broad range of markets. Our innerspring operations produce coils and semi-finished mattress products with internally designed and manufactured wire-forming machines.</w:t>
      </w:r>
    </w:p>
    <w:p>
      <w:pPr>
        <w:spacing w:after="0" w:line="58" w:lineRule="exact"/>
        <w:rPr>
          <w:sz w:val="20"/>
          <w:szCs w:val="20"/>
          <w:color w:val="auto"/>
        </w:rPr>
      </w:pPr>
    </w:p>
    <w:p>
      <w:pPr>
        <w:ind w:right="140" w:firstLine="402"/>
        <w:spacing w:after="0" w:line="265" w:lineRule="auto"/>
        <w:rPr>
          <w:sz w:val="20"/>
          <w:szCs w:val="20"/>
          <w:color w:val="auto"/>
        </w:rPr>
      </w:pPr>
      <w:r>
        <w:rPr>
          <w:rFonts w:ascii="Arial" w:cs="Arial" w:eastAsia="Arial" w:hAnsi="Arial"/>
          <w:sz w:val="18"/>
          <w:szCs w:val="18"/>
          <w:color w:val="auto"/>
        </w:rPr>
        <w:t>In Specialty Foam, we blend polyols and chemical additives to enhance foam properties and pour and fabricate foam for use in bedding and furniture applications. We utilize our specialty foam capabilities to produce mattress accessories and private label boxed mattresses, which often also incorporate our innersprings in hybrid mattress designs.</w:t>
      </w:r>
    </w:p>
    <w:p>
      <w:pPr>
        <w:spacing w:after="0" w:line="38"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We are a major supplier of adjustable beds, with North American manufacturing and distribution, and global sourcing capabilities. Internationally, primarily in Europe, we produce innersprings, specialty foam, and finished mattresses. We also produce machinery for internal production and assembly of our bedding products. Our range of products offers our customers a single source for many of their component and finished product needs.</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These innovative proprietary products and our efficient vertical integration have made us one of the largest U.S.-based manufacturers in many of these businesses. We strive to understand what drives consumer purchases in our markets and focus our product development activities on meeting end-consumer needs. We believe we attain a cost advantage from efficient manufacturing methods, internal production of certain raw materials, large-scale production, and purchasing leverage. Sourcing components and finished products from us allows our customers to focus on designing, merchandising, and marketing their products.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PRODUCTS</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Bedding Group</w:t>
      </w:r>
    </w:p>
    <w:p>
      <w:pPr>
        <w:spacing w:after="0" w:line="43" w:lineRule="exact"/>
        <w:rPr>
          <w:sz w:val="20"/>
          <w:szCs w:val="20"/>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Steel rod</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Drawn wire</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Innersprings (sets of steel coils, bound together, that form the core of a mattress)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Specialty foam chemicals and additives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Specialty foam for use primarily in bedding and furniture</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Semi-finished mattresses (a subassembly including innersprings and foam)</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label finished mattresses, often sold compressed and boxed</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Mattress accessories, such as pillows and toppers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Static foundations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CUSTOMERS</w:t>
      </w:r>
    </w:p>
    <w:p>
      <w:pPr>
        <w:spacing w:after="0" w:line="61" w:lineRule="exact"/>
        <w:rPr>
          <w:sz w:val="20"/>
          <w:szCs w:val="20"/>
          <w:color w:val="auto"/>
        </w:rPr>
      </w:pPr>
    </w:p>
    <w:p>
      <w:pPr>
        <w:ind w:left="1420" w:right="1420" w:hanging="376"/>
        <w:spacing w:after="0" w:line="266"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more than 50% of our wire drawing mill output to manufacture our own products in 2025, with the majority going to our U.S. innerspring operations</w:t>
      </w:r>
    </w:p>
    <w:p>
      <w:pPr>
        <w:spacing w:after="0" w:line="10"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industrial users of steel rod and wire</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Manufacturers of finished bedding (mattresses and foundations)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Bedding brands and mattress retailers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E-commerce retailers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Big box retailers, department stores, and home improvement centers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Specialized Products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45720</wp:posOffset>
            </wp:positionV>
            <wp:extent cx="3532505" cy="161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32505" cy="161925"/>
                    </a:xfrm>
                    <a:prstGeom prst="rect">
                      <a:avLst/>
                    </a:prstGeom>
                    <a:noFill/>
                  </pic:spPr>
                </pic:pic>
              </a:graphicData>
            </a:graphic>
          </wp:anchor>
        </w:drawing>
      </w:r>
    </w:p>
    <w:p>
      <w:pPr>
        <w:spacing w:after="0" w:line="60"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AUTOMOTIVE GROUP</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195580</wp:posOffset>
            </wp:positionV>
            <wp:extent cx="3532505"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2505" cy="161925"/>
                    </a:xfrm>
                    <a:prstGeom prst="rect">
                      <a:avLst/>
                    </a:prstGeom>
                    <a:noFill/>
                  </pic:spPr>
                </pic:pic>
              </a:graphicData>
            </a:graphic>
          </wp:anchor>
        </w:drawing>
      </w:r>
    </w:p>
    <w:p>
      <w:pPr>
        <w:spacing w:after="0" w:line="29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HYDRAULIC CYLINDERS GROUP</w:t>
      </w:r>
    </w:p>
    <w:p>
      <w:pPr>
        <w:spacing w:after="0" w:line="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Hydraulic Cylinders</w:t>
      </w:r>
    </w:p>
    <w:p>
      <w:pPr>
        <w:spacing w:after="0" w:line="195"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Our Specialized Products segment designs, manufactures, and sells products including automotive comfort and in-car motion systems and hydraulic cylinders for the material handling and heavy construction industries. In our Automotive business, our technical capability and deep customer engagement allows us to compete on critical functionality, such as comfort, size, weight, and noise. We believe our reliable product development and launch capability, coupled with our global footprint, makes us a trusted supplier to our Tier 1 and Original Equipment Manufacturer (OEM) customers.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PRODUCTS</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Automotive Group</w:t>
      </w:r>
    </w:p>
    <w:p>
      <w:pPr>
        <w:spacing w:after="0" w:line="43" w:lineRule="exact"/>
        <w:rPr>
          <w:sz w:val="20"/>
          <w:szCs w:val="20"/>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Mechanical and pneumatic lumbar support and massage systems for automotive seating</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Seat suspension systems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Motors and actuators, used in a wide variety of vehicle power features</w:t>
      </w:r>
    </w:p>
    <w:p>
      <w:pPr>
        <w:spacing w:after="0" w:line="47" w:lineRule="exact"/>
        <w:rPr>
          <w:rFonts w:ascii="Arial" w:cs="Arial" w:eastAsia="Arial" w:hAnsi="Arial"/>
          <w:sz w:val="18"/>
          <w:szCs w:val="18"/>
          <w:color w:val="auto"/>
        </w:rPr>
      </w:pPr>
    </w:p>
    <w:p>
      <w:pPr>
        <w:ind w:left="1820" w:hanging="347"/>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Cables</w:t>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Hydraulic Cylinders Group</w:t>
      </w:r>
    </w:p>
    <w:p>
      <w:pPr>
        <w:spacing w:after="0" w:line="61" w:lineRule="exact"/>
        <w:rPr>
          <w:sz w:val="20"/>
          <w:szCs w:val="20"/>
          <w:color w:val="auto"/>
        </w:rPr>
      </w:pPr>
    </w:p>
    <w:p>
      <w:pPr>
        <w:ind w:left="1820" w:hanging="347"/>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Engineered hydraulic cylinders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CUSTOMERS</w:t>
      </w:r>
    </w:p>
    <w:p>
      <w:pPr>
        <w:spacing w:after="0" w:line="61" w:lineRule="exact"/>
        <w:rPr>
          <w:sz w:val="20"/>
          <w:szCs w:val="20"/>
          <w:color w:val="auto"/>
        </w:rPr>
      </w:pPr>
    </w:p>
    <w:p>
      <w:pPr>
        <w:ind w:left="1420" w:hanging="37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Automobile Tier 1 suppliers and OEMs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equipment OEMs, primarily serving material handling and heavy construction markets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Furniture, Flooring &amp; Textile Products Segment</w:t>
      </w:r>
    </w:p>
    <w:p>
      <w:pPr>
        <w:spacing w:after="0" w:line="5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HOME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-129540</wp:posOffset>
            </wp:positionV>
            <wp:extent cx="3532505" cy="14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Home Furniture</w:t>
      </w: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WORK FURNITURE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-127635</wp:posOffset>
            </wp:positionV>
            <wp:extent cx="3532505" cy="14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Work Furniture</w:t>
      </w: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FLOORING &amp; TEXTILE PRODUCTS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-127635</wp:posOffset>
            </wp:positionV>
            <wp:extent cx="353250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32505" cy="144780"/>
                    </a:xfrm>
                    <a:prstGeom prst="rect">
                      <a:avLst/>
                    </a:prstGeom>
                    <a:noFill/>
                  </pic:spPr>
                </pic:pic>
              </a:graphicData>
            </a:graphic>
          </wp:anchor>
        </w:drawing>
      </w:r>
    </w:p>
    <w:p>
      <w:pPr>
        <w:spacing w:after="0" w:line="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Flooring Products</w:t>
      </w:r>
    </w:p>
    <w:p>
      <w:pPr>
        <w:spacing w:after="0" w:line="4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Fabric Converting</w:t>
      </w:r>
    </w:p>
    <w:p>
      <w:pPr>
        <w:spacing w:after="0" w:line="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Geo Components</w:t>
      </w:r>
    </w:p>
    <w:p>
      <w:pPr>
        <w:spacing w:after="0" w:line="195" w:lineRule="exact"/>
        <w:rPr>
          <w:sz w:val="20"/>
          <w:szCs w:val="20"/>
          <w:color w:val="auto"/>
        </w:rPr>
      </w:pPr>
    </w:p>
    <w:p>
      <w:pPr>
        <w:ind w:right="40" w:firstLine="402"/>
        <w:spacing w:after="0" w:line="273" w:lineRule="auto"/>
        <w:rPr>
          <w:sz w:val="20"/>
          <w:szCs w:val="20"/>
          <w:color w:val="auto"/>
        </w:rPr>
      </w:pPr>
      <w:r>
        <w:rPr>
          <w:rFonts w:ascii="Arial" w:cs="Arial" w:eastAsia="Arial" w:hAnsi="Arial"/>
          <w:sz w:val="17"/>
          <w:szCs w:val="17"/>
          <w:color w:val="auto"/>
        </w:rPr>
        <w:t>In our Furniture, Flooring &amp; Textile Products segment, we design, manufacture, and distribute a wide range of components and finished products for residential and commercial markets, and select structural fabric and geo component markets. We supply components used by home and work furniture manufacturers to provide comfort, motion, and style in their finished products and manufacture select lines of private-label finished furniture. We produce carpet cushion and hard surface flooring underlayment for residential and commercial use. We convert fabrics into components used by bedding and furniture manufacturers and in other applications such as filtration, hospitality, automotive, and packaging. We also convert and distribute geo components for erosion control, subgrade stabilization, and storm water management.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PRODUCTS</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Home Furniture Group</w:t>
      </w:r>
    </w:p>
    <w:p>
      <w:pPr>
        <w:spacing w:after="0" w:line="43" w:lineRule="exact"/>
        <w:rPr>
          <w:sz w:val="20"/>
          <w:szCs w:val="20"/>
          <w:color w:val="auto"/>
        </w:rPr>
      </w:pPr>
    </w:p>
    <w:p>
      <w:pPr>
        <w:ind w:left="1820" w:right="1320" w:hanging="347"/>
        <w:spacing w:after="0" w:line="264" w:lineRule="auto"/>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Steel mechanisms and motion hardware (enabling furniture to recline, tilt, swivel, rock, and elevate) for reclining chairs, sofas, sleeper sofas, and lift chairs</w:t>
      </w:r>
    </w:p>
    <w:p>
      <w:pPr>
        <w:spacing w:after="0" w:line="13" w:lineRule="exact"/>
        <w:rPr>
          <w:rFonts w:ascii="Arial" w:cs="Arial" w:eastAsia="Arial" w:hAnsi="Arial"/>
          <w:sz w:val="18"/>
          <w:szCs w:val="18"/>
          <w:color w:val="auto"/>
        </w:rPr>
      </w:pPr>
    </w:p>
    <w:p>
      <w:pPr>
        <w:ind w:left="1820" w:hanging="347"/>
        <w:spacing w:after="0"/>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Springs and seat suspensions for chairs, sofas, and loveseats</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Work Furniture Group</w:t>
      </w:r>
    </w:p>
    <w:p>
      <w:pPr>
        <w:spacing w:after="0" w:line="61" w:lineRule="exact"/>
        <w:rPr>
          <w:sz w:val="20"/>
          <w:szCs w:val="20"/>
          <w:color w:val="auto"/>
        </w:rPr>
      </w:pPr>
    </w:p>
    <w:p>
      <w:pPr>
        <w:ind w:left="1820" w:hanging="347"/>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Components and private-label finished goods for collaborative soft seating</w:t>
      </w:r>
    </w:p>
    <w:p>
      <w:pPr>
        <w:spacing w:after="0" w:line="47" w:lineRule="exact"/>
        <w:rPr>
          <w:rFonts w:ascii="Arial" w:cs="Arial" w:eastAsia="Arial" w:hAnsi="Arial"/>
          <w:sz w:val="18"/>
          <w:szCs w:val="18"/>
          <w:color w:val="auto"/>
        </w:rPr>
      </w:pPr>
    </w:p>
    <w:p>
      <w:pPr>
        <w:ind w:left="1820" w:right="1140" w:hanging="347"/>
        <w:spacing w:after="0" w:line="266"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Bases, columns, back rests, casters, and frames for office chairs, and control devices that allow chairs to tilt, swivel, and elevate</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Flooring &amp; Textile Products Group</w:t>
      </w:r>
    </w:p>
    <w:p>
      <w:pPr>
        <w:spacing w:after="0" w:line="61" w:lineRule="exact"/>
        <w:rPr>
          <w:sz w:val="20"/>
          <w:szCs w:val="20"/>
          <w:color w:val="auto"/>
        </w:rPr>
      </w:pPr>
    </w:p>
    <w:p>
      <w:pPr>
        <w:ind w:left="1820" w:right="1080" w:hanging="347"/>
        <w:spacing w:after="0" w:line="272"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Carpet cushion and hard surface flooring underlayment (made from bonded scrap foam, fiber, rubber, and prime foam)</w:t>
      </w:r>
    </w:p>
    <w:p>
      <w:pPr>
        <w:ind w:left="1820" w:hanging="347"/>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 fabrics for mattresses, residential furniture, and industrial uses</w:t>
      </w:r>
    </w:p>
    <w:p>
      <w:pPr>
        <w:spacing w:after="0" w:line="47" w:lineRule="exact"/>
        <w:rPr>
          <w:rFonts w:ascii="Arial" w:cs="Arial" w:eastAsia="Arial" w:hAnsi="Arial"/>
          <w:sz w:val="18"/>
          <w:szCs w:val="18"/>
          <w:color w:val="auto"/>
        </w:rPr>
      </w:pPr>
    </w:p>
    <w:p>
      <w:pPr>
        <w:ind w:left="1820" w:right="1500" w:hanging="347"/>
        <w:spacing w:after="0" w:line="282"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 components (synthetic fabrics and various other products used in ground stabilization, drainage protection, erosion, and weed control)</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CUSTOMERS</w:t>
      </w:r>
    </w:p>
    <w:p>
      <w:pPr>
        <w:spacing w:after="0" w:line="61" w:lineRule="exact"/>
        <w:rPr>
          <w:sz w:val="20"/>
          <w:szCs w:val="20"/>
          <w:color w:val="auto"/>
        </w:rPr>
      </w:pPr>
    </w:p>
    <w:p>
      <w:pPr>
        <w:ind w:left="1420" w:hanging="376"/>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Manufacturers of upholstered and office furniture</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Flooring retailers and distributors, including big box retailers and home improvement centers</w:t>
      </w:r>
    </w:p>
    <w:p>
      <w:pPr>
        <w:spacing w:after="0" w:line="47" w:lineRule="exact"/>
        <w:rPr>
          <w:rFonts w:ascii="Arial" w:cs="Arial" w:eastAsia="Arial" w:hAnsi="Arial"/>
          <w:sz w:val="18"/>
          <w:szCs w:val="18"/>
          <w:color w:val="auto"/>
        </w:rPr>
      </w:pPr>
    </w:p>
    <w:p>
      <w:pPr>
        <w:ind w:left="1420" w:right="980" w:hanging="376"/>
        <w:spacing w:after="0" w:line="264"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Contractors, landscapers, road construction companies, retailers, and government agencies using or selling geo components</w:t>
      </w:r>
    </w:p>
    <w:p>
      <w:pPr>
        <w:spacing w:after="0" w:line="13" w:lineRule="exact"/>
        <w:rPr>
          <w:rFonts w:ascii="Arial" w:cs="Arial" w:eastAsia="Arial" w:hAnsi="Arial"/>
          <w:sz w:val="18"/>
          <w:szCs w:val="18"/>
          <w:color w:val="auto"/>
        </w:rPr>
      </w:pPr>
    </w:p>
    <w:p>
      <w:pPr>
        <w:ind w:left="1420" w:hanging="376"/>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Mattress and furniture producers</w:t>
      </w:r>
    </w:p>
    <w:p>
      <w:pPr>
        <w:spacing w:after="0" w:line="47" w:lineRule="exact"/>
        <w:rPr>
          <w:rFonts w:ascii="Arial" w:cs="Arial" w:eastAsia="Arial" w:hAnsi="Arial"/>
          <w:sz w:val="18"/>
          <w:szCs w:val="18"/>
          <w:color w:val="auto"/>
        </w:rPr>
      </w:pPr>
    </w:p>
    <w:p>
      <w:pPr>
        <w:ind w:left="1420" w:hanging="376"/>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Manufacturers of draperies, specialty packaging, filtration, and automotive upholstery</w:t>
      </w:r>
    </w:p>
    <w:p>
      <w:pPr>
        <w:spacing w:after="0" w:line="28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Somnigroup Discussions</w:t>
      </w:r>
    </w:p>
    <w:p>
      <w:pPr>
        <w:spacing w:after="0" w:line="102"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In December 2025, we announced the Company received an unsolicited proposal from Somnigroup International Inc. (Somnigroup) to acquire the Company in an all-stock transaction. In January 2026, our Board of Directors, in consultation with its financial and legal advisors, announced that it had determined that the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Somnigroup offer undervalues the Company and publicly declined the Somnigroup proposal. Our Board also publicly announced that it has entered into a customary non-disclosure agreement and six month standstill with Somnigroup to facilitate customary due diligence and to determine if a transaction can be reached that delivers appropriate value and certainty to the Company and its shareholders. There can be no assurance that the Board's evaluation will result in a transaction and, if there is a transaction, the price, form of consideration, or other terms and conditions of any such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Strategic Initiatives</w:t>
      </w:r>
    </w:p>
    <w:p>
      <w:pPr>
        <w:spacing w:after="0" w:line="115" w:lineRule="exact"/>
        <w:rPr>
          <w:sz w:val="20"/>
          <w:szCs w:val="20"/>
          <w:color w:val="auto"/>
        </w:rPr>
      </w:pPr>
    </w:p>
    <w:p>
      <w:pPr>
        <w:ind w:right="840" w:firstLine="402"/>
        <w:spacing w:after="0" w:line="282" w:lineRule="auto"/>
        <w:rPr>
          <w:sz w:val="20"/>
          <w:szCs w:val="20"/>
          <w:color w:val="auto"/>
        </w:rPr>
      </w:pPr>
      <w:r>
        <w:rPr>
          <w:rFonts w:ascii="Arial" w:cs="Arial" w:eastAsia="Arial" w:hAnsi="Arial"/>
          <w:sz w:val="18"/>
          <w:szCs w:val="18"/>
          <w:color w:val="auto"/>
        </w:rPr>
        <w:t>We continuously seek opportunities to improve our operating efficiency and profitability, evaluate the market attractiveness and competitive position of all our businesses, and assess opportunities for profitable, long-term growth.</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Restructuring</w:t>
      </w:r>
    </w:p>
    <w:p>
      <w:pPr>
        <w:spacing w:after="0" w:line="107" w:lineRule="exact"/>
        <w:rPr>
          <w:sz w:val="20"/>
          <w:szCs w:val="20"/>
          <w:color w:val="auto"/>
        </w:rPr>
      </w:pPr>
    </w:p>
    <w:p>
      <w:pPr>
        <w:ind w:right="220" w:firstLine="402"/>
        <w:spacing w:after="0" w:line="265" w:lineRule="auto"/>
        <w:rPr>
          <w:sz w:val="20"/>
          <w:szCs w:val="20"/>
          <w:color w:val="auto"/>
        </w:rPr>
      </w:pPr>
      <w:r>
        <w:rPr>
          <w:rFonts w:ascii="Arial" w:cs="Arial" w:eastAsia="Arial" w:hAnsi="Arial"/>
          <w:sz w:val="18"/>
          <w:szCs w:val="18"/>
          <w:color w:val="auto"/>
        </w:rPr>
        <w:t>In 2024, we committed to a restructuring plan (the 2024 Restructuring Plan or 2024 Plan). The 2024 Plan is substantially complete and was primarily associated with our Bedding Products segment and included, to a lesser extent, our Furniture, Flooring &amp; Textile Products segment, Specialized Products segment, and general and administrative cost structure initiatives.</w:t>
      </w:r>
    </w:p>
    <w:p>
      <w:pPr>
        <w:spacing w:after="0" w:line="52"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 xml:space="preserve">For more information about the 2024 Restructuring Plan, please see the discussion under Operational Risk Factors beginning on page 14 in Item 1A. Risk Factors, Item 7. Management's Discussion and Analysis of Financial Condition and Results of Operations on page 39, and </w:t>
      </w:r>
      <w:r>
        <w:rPr>
          <w:rFonts w:ascii="Arial" w:cs="Arial" w:eastAsia="Arial" w:hAnsi="Arial"/>
          <w:sz w:val="18"/>
          <w:szCs w:val="18"/>
          <w:u w:val="single" w:color="auto"/>
          <w:color w:val="0000FF"/>
        </w:rPr>
        <w:t>Note E</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on page 94.</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continue to seek opportunities to improve our cost structure and profitability in all of our businesses.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Divestitures and Acquisitions</w:t>
      </w:r>
    </w:p>
    <w:p>
      <w:pPr>
        <w:spacing w:after="0" w:line="107" w:lineRule="exact"/>
        <w:rPr>
          <w:sz w:val="20"/>
          <w:szCs w:val="20"/>
          <w:color w:val="auto"/>
        </w:rPr>
      </w:pPr>
    </w:p>
    <w:p>
      <w:pPr>
        <w:ind w:right="160" w:firstLine="402"/>
        <w:spacing w:after="0" w:line="254" w:lineRule="auto"/>
        <w:rPr>
          <w:sz w:val="20"/>
          <w:szCs w:val="20"/>
          <w:color w:val="auto"/>
        </w:rPr>
      </w:pPr>
      <w:r>
        <w:rPr>
          <w:rFonts w:ascii="Arial" w:cs="Arial" w:eastAsia="Arial" w:hAnsi="Arial"/>
          <w:sz w:val="18"/>
          <w:szCs w:val="18"/>
          <w:color w:val="auto"/>
        </w:rPr>
        <w:t>In August 2025, we divested the Aerospace Products Group for a net cash price of $280 million and recognized a pretax gain of $91 million after final adjustments for working capital were completed in December 2025. We collected the final working capital adjustment of $4 million in January 2026. The proceeds from the sale were primarily used to reduce debt. Our Aerospace Products Group was a supplier of complex, highly-engineered tube and duct assemblies for use primarily in commercial and military aircraft platforms and space launch vehicles. The business was comprised of seven manufacturing facilities located in the United States, the United Kingdom, and France, with approximately 700 employees at the time of the sale, and had approximately $130 million in sales through August 2025 which were reported in the Specialized Products segment.</w:t>
      </w:r>
    </w:p>
    <w:p>
      <w:pPr>
        <w:spacing w:after="0" w:line="62" w:lineRule="exact"/>
        <w:rPr>
          <w:sz w:val="20"/>
          <w:szCs w:val="20"/>
          <w:color w:val="auto"/>
        </w:rPr>
      </w:pPr>
    </w:p>
    <w:p>
      <w:pPr>
        <w:ind w:right="420" w:firstLine="402"/>
        <w:spacing w:after="0" w:line="282" w:lineRule="auto"/>
        <w:rPr>
          <w:sz w:val="20"/>
          <w:szCs w:val="20"/>
          <w:color w:val="auto"/>
        </w:rPr>
      </w:pPr>
      <w:r>
        <w:rPr>
          <w:rFonts w:ascii="Arial" w:cs="Arial" w:eastAsia="Arial" w:hAnsi="Arial"/>
          <w:sz w:val="18"/>
          <w:szCs w:val="18"/>
          <w:color w:val="auto"/>
        </w:rPr>
        <w:t>Also in 2025, we divested a small U.S. machinery business within our Bedding Products segment for $1 million and a small Mexican Work Furniture operation within our Furniture, Flooring &amp; Textile Products segment for $4 million.</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For additional details, see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on page 121 of the Notes to Consolidated Financial Statements.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have any divestitures of businesses in 2023 or 2024, and no businesses were acquired in the last three years.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Disciplined Growth</w:t>
      </w:r>
    </w:p>
    <w:p>
      <w:pPr>
        <w:spacing w:after="0" w:line="107" w:lineRule="exact"/>
        <w:rPr>
          <w:sz w:val="20"/>
          <w:szCs w:val="20"/>
          <w:color w:val="auto"/>
        </w:rPr>
      </w:pPr>
    </w:p>
    <w:p>
      <w:pPr>
        <w:jc w:val="both"/>
        <w:ind w:right="120" w:firstLine="402"/>
        <w:spacing w:after="0" w:line="265" w:lineRule="auto"/>
        <w:rPr>
          <w:sz w:val="20"/>
          <w:szCs w:val="20"/>
          <w:color w:val="auto"/>
        </w:rPr>
      </w:pPr>
      <w:r>
        <w:rPr>
          <w:rFonts w:ascii="Arial" w:cs="Arial" w:eastAsia="Arial" w:hAnsi="Arial"/>
          <w:sz w:val="18"/>
          <w:szCs w:val="18"/>
          <w:color w:val="auto"/>
        </w:rPr>
        <w:t>We will continue to make investments to support expansion in current businesses and in product lines where we have an opportunity to grow profitably. Within our Bedding Products segment, we have begun exploring alternative sales channels (including private-label initiatives) to expand our market position, increase profitability, and drive growth.</w:t>
      </w:r>
    </w:p>
    <w:p>
      <w:pPr>
        <w:spacing w:after="0" w:line="38" w:lineRule="exact"/>
        <w:rPr>
          <w:sz w:val="20"/>
          <w:szCs w:val="20"/>
          <w:color w:val="auto"/>
        </w:rPr>
      </w:pPr>
    </w:p>
    <w:p>
      <w:pPr>
        <w:ind w:right="660" w:firstLine="402"/>
        <w:spacing w:after="0" w:line="282" w:lineRule="auto"/>
        <w:rPr>
          <w:sz w:val="20"/>
          <w:szCs w:val="20"/>
          <w:color w:val="auto"/>
        </w:rPr>
      </w:pPr>
      <w:r>
        <w:rPr>
          <w:rFonts w:ascii="Arial" w:cs="Arial" w:eastAsia="Arial" w:hAnsi="Arial"/>
          <w:sz w:val="18"/>
          <w:szCs w:val="18"/>
          <w:color w:val="auto"/>
        </w:rPr>
        <w:t>We also envision periodic acquisitions that add capabilities in our businesses. We expect all acquisitions to have a clear strategic rationale, a sustainable competitive advantage, a strong fit with the Company, and be in attractive and growing markets.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Foreign Operations</w:t>
      </w:r>
    </w:p>
    <w:p>
      <w:pPr>
        <w:spacing w:after="0" w:line="115" w:lineRule="exact"/>
        <w:rPr>
          <w:sz w:val="20"/>
          <w:szCs w:val="20"/>
          <w:color w:val="auto"/>
        </w:rPr>
      </w:pPr>
    </w:p>
    <w:p>
      <w:pPr>
        <w:ind w:right="60" w:firstLine="402"/>
        <w:spacing w:after="0" w:line="265" w:lineRule="auto"/>
        <w:rPr>
          <w:sz w:val="20"/>
          <w:szCs w:val="20"/>
          <w:color w:val="auto"/>
        </w:rPr>
      </w:pPr>
      <w:r>
        <w:rPr>
          <w:rFonts w:ascii="Arial" w:cs="Arial" w:eastAsia="Arial" w:hAnsi="Arial"/>
          <w:sz w:val="18"/>
          <w:szCs w:val="18"/>
          <w:color w:val="auto"/>
        </w:rPr>
        <w:t>The percentages of our trade sales related to products manufactured outside the United States were 39%, 40%, and 41% in 2023, 2024, and 2025, respectively. In comparison to our other two segments, our Specialized Products segment has a larger percentage of trade sales manufactured outside the United States, which ranged between 84% and 86% over the last three years.</w:t>
      </w:r>
    </w:p>
    <w:p>
      <w:pPr>
        <w:spacing w:after="0" w:line="52" w:lineRule="exact"/>
        <w:rPr>
          <w:sz w:val="20"/>
          <w:szCs w:val="20"/>
          <w:color w:val="auto"/>
        </w:rPr>
      </w:pPr>
    </w:p>
    <w:p>
      <w:pPr>
        <w:ind w:right="580" w:firstLine="402"/>
        <w:spacing w:after="0" w:line="282" w:lineRule="auto"/>
        <w:rPr>
          <w:sz w:val="20"/>
          <w:szCs w:val="20"/>
          <w:color w:val="auto"/>
        </w:rPr>
      </w:pPr>
      <w:r>
        <w:rPr>
          <w:rFonts w:ascii="Arial" w:cs="Arial" w:eastAsia="Arial" w:hAnsi="Arial"/>
          <w:sz w:val="18"/>
          <w:szCs w:val="18"/>
          <w:color w:val="auto"/>
        </w:rPr>
        <w:t>Our international operations are principally located in Europe, China, Canada, and Mexico. Our products in these foreign locations primarily consist of:</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Europe</w:t>
      </w:r>
    </w:p>
    <w:p>
      <w:pPr>
        <w:spacing w:after="0" w:line="65" w:lineRule="exact"/>
        <w:rPr>
          <w:sz w:val="20"/>
          <w:szCs w:val="20"/>
          <w:color w:val="auto"/>
        </w:rPr>
      </w:pPr>
    </w:p>
    <w:p>
      <w:pPr>
        <w:ind w:left="700" w:hanging="10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Innersprings, specialty foam, and finished mattresses</w:t>
      </w:r>
    </w:p>
    <w:p>
      <w:pPr>
        <w:spacing w:after="0" w:line="28" w:lineRule="exact"/>
        <w:rPr>
          <w:rFonts w:ascii="Arial" w:cs="Arial" w:eastAsia="Arial" w:hAnsi="Arial"/>
          <w:sz w:val="18"/>
          <w:szCs w:val="18"/>
          <w:color w:val="auto"/>
        </w:rPr>
      </w:pPr>
    </w:p>
    <w:p>
      <w:pPr>
        <w:ind w:left="700" w:hanging="10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 and actuators for automotive applications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 lines of private label finished furniture</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Hydraulic cylinders for material handling and heavy construction equipment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China</w:t>
      </w:r>
    </w:p>
    <w:p>
      <w:pPr>
        <w:spacing w:after="0" w:line="65" w:lineRule="exact"/>
        <w:rPr>
          <w:sz w:val="20"/>
          <w:szCs w:val="20"/>
          <w:color w:val="auto"/>
        </w:rPr>
      </w:pPr>
    </w:p>
    <w:p>
      <w:pPr>
        <w:ind w:left="700" w:hanging="8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8" w:lineRule="exact"/>
        <w:rPr>
          <w:rFonts w:ascii="Arial" w:cs="Arial" w:eastAsia="Arial" w:hAnsi="Arial"/>
          <w:sz w:val="18"/>
          <w:szCs w:val="18"/>
          <w:color w:val="auto"/>
        </w:rPr>
      </w:pPr>
    </w:p>
    <w:p>
      <w:pPr>
        <w:ind w:left="700" w:hanging="8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Cables, motors, and actuators for automotive applications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Recliner mechanisms and bases for upholstered furniture</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furniture components, including chair bases and casters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Innersprings for mattresses</w:t>
      </w:r>
    </w:p>
    <w:p>
      <w:pPr>
        <w:spacing w:after="0" w:line="20" w:lineRule="exact"/>
        <w:rPr>
          <w:rFonts w:ascii="Arial" w:cs="Arial" w:eastAsia="Arial" w:hAnsi="Arial"/>
          <w:sz w:val="18"/>
          <w:szCs w:val="18"/>
          <w:color w:val="auto"/>
        </w:rPr>
      </w:pPr>
    </w:p>
    <w:p>
      <w:pPr>
        <w:ind w:left="700" w:hanging="89"/>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Hydraulic cylinders for heavy construction equipment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Canada</w:t>
      </w:r>
    </w:p>
    <w:p>
      <w:pPr>
        <w:spacing w:after="0" w:line="51" w:lineRule="exact"/>
        <w:rPr>
          <w:sz w:val="20"/>
          <w:szCs w:val="20"/>
          <w:color w:val="auto"/>
        </w:rPr>
      </w:pPr>
    </w:p>
    <w:p>
      <w:pPr>
        <w:ind w:left="700" w:hanging="10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8" w:lineRule="exact"/>
        <w:rPr>
          <w:rFonts w:ascii="Arial" w:cs="Arial" w:eastAsia="Arial" w:hAnsi="Arial"/>
          <w:sz w:val="18"/>
          <w:szCs w:val="18"/>
          <w:color w:val="auto"/>
        </w:rPr>
      </w:pPr>
    </w:p>
    <w:p>
      <w:pPr>
        <w:ind w:left="700" w:hanging="10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Fabricated wire for the furniture and automotive industries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furniture chair controls and bases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 components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5"/>
          <w:szCs w:val="25"/>
          <w:u w:val="single" w:color="auto"/>
          <w:color w:val="auto"/>
        </w:rPr>
        <w:t>Mexico</w:t>
      </w:r>
    </w:p>
    <w:p>
      <w:pPr>
        <w:spacing w:after="0" w:line="51" w:lineRule="exact"/>
        <w:rPr>
          <w:sz w:val="20"/>
          <w:szCs w:val="20"/>
          <w:color w:val="auto"/>
        </w:rPr>
      </w:pPr>
    </w:p>
    <w:p>
      <w:pPr>
        <w:ind w:left="700" w:hanging="103"/>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Lumbar and seat suspension systems for automotive seating</w:t>
      </w:r>
    </w:p>
    <w:p>
      <w:pPr>
        <w:spacing w:after="0" w:line="28" w:lineRule="exact"/>
        <w:rPr>
          <w:rFonts w:ascii="Arial" w:cs="Arial" w:eastAsia="Arial" w:hAnsi="Arial"/>
          <w:sz w:val="18"/>
          <w:szCs w:val="18"/>
          <w:color w:val="auto"/>
        </w:rPr>
      </w:pPr>
    </w:p>
    <w:p>
      <w:pPr>
        <w:ind w:left="700" w:hanging="103"/>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Motors and actuators for automotive applications</w:t>
      </w:r>
    </w:p>
    <w:p>
      <w:pPr>
        <w:spacing w:after="0" w:line="20" w:lineRule="exact"/>
        <w:rPr>
          <w:rFonts w:ascii="Arial" w:cs="Arial" w:eastAsia="Arial" w:hAnsi="Arial"/>
          <w:sz w:val="18"/>
          <w:szCs w:val="18"/>
          <w:color w:val="auto"/>
        </w:rPr>
      </w:pPr>
    </w:p>
    <w:p>
      <w:pPr>
        <w:ind w:left="700" w:hanging="103"/>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Adjustable beds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Geographic Areas of Operation</w:t>
      </w:r>
    </w:p>
    <w:p>
      <w:pPr>
        <w:spacing w:after="0" w:line="115" w:lineRule="exact"/>
        <w:rPr>
          <w:sz w:val="20"/>
          <w:szCs w:val="20"/>
          <w:color w:val="auto"/>
        </w:rPr>
      </w:pPr>
    </w:p>
    <w:p>
      <w:pPr>
        <w:jc w:val="both"/>
        <w:ind w:right="120" w:firstLine="402"/>
        <w:spacing w:after="0" w:line="265" w:lineRule="auto"/>
        <w:rPr>
          <w:sz w:val="20"/>
          <w:szCs w:val="20"/>
          <w:color w:val="auto"/>
        </w:rPr>
      </w:pPr>
      <w:r>
        <w:rPr>
          <w:rFonts w:ascii="Arial" w:cs="Arial" w:eastAsia="Arial" w:hAnsi="Arial"/>
          <w:sz w:val="18"/>
          <w:szCs w:val="18"/>
          <w:color w:val="auto"/>
        </w:rPr>
        <w:t>As of December 31, 2025, we had 104 manufacturing facilities in 18 countries; 61 located in the United States and 43 located in foreign countries, as shown below. We also had various sales, warehouse, and administrative facilities. However, our manufacturing facilities are our most important properties.</w:t>
      </w:r>
    </w:p>
    <w:p>
      <w:pPr>
        <w:spacing w:after="0" w:line="306"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00" w:type="dxa"/>
            <w:vAlign w:val="bottom"/>
            <w:vMerge w:val="restart"/>
          </w:tcPr>
          <w:p>
            <w:pPr>
              <w:jc w:val="center"/>
              <w:ind w:left="511"/>
              <w:spacing w:after="0"/>
              <w:rPr>
                <w:sz w:val="20"/>
                <w:szCs w:val="20"/>
                <w:color w:val="auto"/>
              </w:rPr>
            </w:pPr>
            <w:r>
              <w:rPr>
                <w:rFonts w:ascii="Arial" w:cs="Arial" w:eastAsia="Arial" w:hAnsi="Arial"/>
                <w:sz w:val="18"/>
                <w:szCs w:val="18"/>
                <w:b w:val="1"/>
                <w:bCs w:val="1"/>
                <w:color w:val="auto"/>
                <w:w w:val="99"/>
              </w:rPr>
              <w:t>Bedding Products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7"/>
              </w:rPr>
              <w:t>Specialized</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Furniture, Flooring &amp;</w:t>
            </w:r>
          </w:p>
        </w:tc>
        <w:tc>
          <w:tcPr>
            <w:tcW w:w="0" w:type="dxa"/>
            <w:vAlign w:val="bottom"/>
          </w:tcPr>
          <w:p>
            <w:pPr>
              <w:spacing w:after="0"/>
              <w:rPr>
                <w:sz w:val="1"/>
                <w:szCs w:val="1"/>
                <w:color w:val="auto"/>
              </w:rPr>
            </w:pPr>
          </w:p>
        </w:tc>
      </w:tr>
      <w:tr>
        <w:trPr>
          <w:trHeight w:val="241"/>
        </w:trPr>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Products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Textile Products</w:t>
            </w:r>
          </w:p>
        </w:tc>
        <w:tc>
          <w:tcPr>
            <w:tcW w:w="0" w:type="dxa"/>
            <w:vAlign w:val="bottom"/>
          </w:tcPr>
          <w:p>
            <w:pPr>
              <w:spacing w:after="0"/>
              <w:rPr>
                <w:sz w:val="1"/>
                <w:szCs w:val="1"/>
                <w:color w:val="auto"/>
              </w:rPr>
            </w:pPr>
          </w:p>
        </w:tc>
      </w:tr>
      <w:tr>
        <w:trPr>
          <w:trHeight w:val="201"/>
        </w:trPr>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98"/>
              </w:rPr>
              <w:t>North America</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Canada</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Mexico</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United States</w:t>
            </w:r>
          </w:p>
        </w:tc>
        <w:tc>
          <w:tcPr>
            <w:tcW w:w="2500" w:type="dxa"/>
            <w:vAlign w:val="bottom"/>
            <w:tcBorders>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181"/>
        </w:trPr>
        <w:tc>
          <w:tcPr>
            <w:tcW w:w="160" w:type="dxa"/>
            <w:vAlign w:val="bottom"/>
            <w:shd w:val="clear" w:color="auto" w:fill="CCEEFF"/>
          </w:tcPr>
          <w:p>
            <w:pPr>
              <w:spacing w:after="0"/>
              <w:rPr>
                <w:sz w:val="15"/>
                <w:szCs w:val="15"/>
                <w:color w:val="auto"/>
              </w:rPr>
            </w:pPr>
          </w:p>
        </w:tc>
        <w:tc>
          <w:tcPr>
            <w:tcW w:w="2360" w:type="dxa"/>
            <w:vAlign w:val="bottom"/>
            <w:gridSpan w:val="5"/>
            <w:shd w:val="clear" w:color="auto" w:fill="CCEEFF"/>
          </w:tcPr>
          <w:p>
            <w:pPr>
              <w:spacing w:after="0" w:line="181" w:lineRule="exact"/>
              <w:rPr>
                <w:sz w:val="20"/>
                <w:szCs w:val="20"/>
                <w:color w:val="auto"/>
              </w:rPr>
            </w:pPr>
            <w:r>
              <w:rPr>
                <w:rFonts w:ascii="Arial" w:cs="Arial" w:eastAsia="Arial" w:hAnsi="Arial"/>
                <w:sz w:val="18"/>
                <w:szCs w:val="18"/>
                <w:b w:val="1"/>
                <w:bCs w:val="1"/>
                <w:color w:val="auto"/>
              </w:rPr>
              <w:t>Europe</w:t>
            </w:r>
          </w:p>
        </w:tc>
        <w:tc>
          <w:tcPr>
            <w:tcW w:w="25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Austria</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Belgium</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Croatia</w:t>
            </w:r>
          </w:p>
        </w:tc>
        <w:tc>
          <w:tcPr>
            <w:tcW w:w="2500" w:type="dxa"/>
            <w:vAlign w:val="bottom"/>
            <w:tcBorders>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Denmark</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Germany</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Hungary</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Ireland</w:t>
            </w:r>
          </w:p>
        </w:tc>
        <w:tc>
          <w:tcPr>
            <w:tcW w:w="2500" w:type="dxa"/>
            <w:vAlign w:val="bottom"/>
            <w:tcBorders>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Poland</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Switzerland</w:t>
            </w:r>
          </w:p>
        </w:tc>
        <w:tc>
          <w:tcPr>
            <w:tcW w:w="2500" w:type="dxa"/>
            <w:vAlign w:val="bottom"/>
            <w:tcBorders>
              <w:bottom w:val="single" w:sz="8" w:color="auto"/>
            </w:tcBorders>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United Kingdom</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360" w:type="dxa"/>
            <w:vAlign w:val="bottom"/>
            <w:gridSpan w:val="5"/>
          </w:tcPr>
          <w:p>
            <w:pPr>
              <w:spacing w:after="0" w:line="181" w:lineRule="exact"/>
              <w:rPr>
                <w:sz w:val="20"/>
                <w:szCs w:val="20"/>
                <w:color w:val="auto"/>
              </w:rPr>
            </w:pPr>
            <w:r>
              <w:rPr>
                <w:rFonts w:ascii="Arial" w:cs="Arial" w:eastAsia="Arial" w:hAnsi="Arial"/>
                <w:sz w:val="18"/>
                <w:szCs w:val="18"/>
                <w:b w:val="1"/>
                <w:bCs w:val="1"/>
                <w:color w:val="auto"/>
              </w:rPr>
              <w:t>South America</w:t>
            </w:r>
          </w:p>
        </w:tc>
        <w:tc>
          <w:tcPr>
            <w:tcW w:w="2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Brazil</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360" w:type="dxa"/>
            <w:vAlign w:val="bottom"/>
            <w:gridSpan w:val="5"/>
          </w:tcPr>
          <w:p>
            <w:pPr>
              <w:spacing w:after="0" w:line="181" w:lineRule="exact"/>
              <w:rPr>
                <w:sz w:val="20"/>
                <w:szCs w:val="20"/>
                <w:color w:val="auto"/>
              </w:rPr>
            </w:pPr>
            <w:r>
              <w:rPr>
                <w:rFonts w:ascii="Arial" w:cs="Arial" w:eastAsia="Arial" w:hAnsi="Arial"/>
                <w:sz w:val="18"/>
                <w:szCs w:val="18"/>
                <w:b w:val="1"/>
                <w:bCs w:val="1"/>
                <w:color w:val="auto"/>
              </w:rPr>
              <w:t>Asia</w:t>
            </w:r>
          </w:p>
        </w:tc>
        <w:tc>
          <w:tcPr>
            <w:tcW w:w="2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China</w:t>
            </w:r>
          </w:p>
        </w:tc>
        <w:tc>
          <w:tcPr>
            <w:tcW w:w="2500" w:type="dxa"/>
            <w:vAlign w:val="bottom"/>
            <w:tcBorders>
              <w:bottom w:val="single" w:sz="8" w:color="auto"/>
            </w:tcBorders>
            <w:shd w:val="clear" w:color="auto" w:fill="CCEEFF"/>
          </w:tcPr>
          <w:p>
            <w:pPr>
              <w:jc w:val="center"/>
              <w:ind w:left="511"/>
              <w:spacing w:after="0"/>
              <w:rPr>
                <w:sz w:val="20"/>
                <w:szCs w:val="20"/>
                <w:color w:val="auto"/>
              </w:rPr>
            </w:pPr>
            <w:r>
              <w:rPr>
                <w:rFonts w:ascii="Wingdings" w:cs="Wingdings" w:eastAsia="Wingdings" w:hAnsi="Wingdings"/>
                <w:sz w:val="18"/>
                <w:szCs w:val="18"/>
                <w:b w:val="1"/>
                <w:bCs w:val="1"/>
                <w:color w:val="auto"/>
              </w:rPr>
              <w:t>n</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India</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South Korea</w:t>
            </w:r>
          </w:p>
        </w:tc>
        <w:tc>
          <w:tcPr>
            <w:tcW w:w="2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w w:val="88"/>
              </w:rPr>
              <w:t>n</w:t>
            </w:r>
          </w:p>
        </w:tc>
        <w:tc>
          <w:tcPr>
            <w:tcW w:w="2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Vietnam</w:t>
            </w:r>
          </w:p>
        </w:tc>
        <w:tc>
          <w:tcPr>
            <w:tcW w:w="2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Dependence on Market Demand for Key Product Families</w:t>
      </w:r>
    </w:p>
    <w:p>
      <w:pPr>
        <w:spacing w:after="0" w:line="115" w:lineRule="exact"/>
        <w:rPr>
          <w:sz w:val="20"/>
          <w:szCs w:val="20"/>
          <w:color w:val="auto"/>
        </w:rPr>
      </w:pPr>
    </w:p>
    <w:p>
      <w:pPr>
        <w:ind w:right="540" w:firstLine="402"/>
        <w:spacing w:after="0" w:line="272" w:lineRule="auto"/>
        <w:rPr>
          <w:sz w:val="20"/>
          <w:szCs w:val="20"/>
          <w:color w:val="auto"/>
        </w:rPr>
      </w:pPr>
      <w:r>
        <w:rPr>
          <w:rFonts w:ascii="Arial" w:cs="Arial" w:eastAsia="Arial" w:hAnsi="Arial"/>
          <w:sz w:val="18"/>
          <w:szCs w:val="18"/>
          <w:color w:val="auto"/>
        </w:rPr>
        <w:t>The following table shows our approximate percentage of trade sales by product family for the last three years, which indicates the degree of dependence upon market demand:</w:t>
      </w:r>
    </w:p>
    <w:tbl>
      <w:tblPr>
        <w:tblLayout w:type="fixed"/>
        <w:tblInd w:w="2160" w:type="dxa"/>
        <w:tblCellMar>
          <w:top w:w="0" w:type="dxa"/>
          <w:left w:w="0" w:type="dxa"/>
          <w:bottom w:w="0" w:type="dxa"/>
          <w:right w:w="0" w:type="dxa"/>
        </w:tblCellMar>
      </w:tblPr>
      <w:tr>
        <w:trPr>
          <w:trHeight w:val="233"/>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Product Families</w:t>
            </w:r>
          </w:p>
        </w:tc>
        <w:tc>
          <w:tcPr>
            <w:tcW w:w="1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2025</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2024</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2023</w:t>
            </w:r>
          </w:p>
        </w:tc>
      </w:tr>
      <w:tr>
        <w:trPr>
          <w:trHeight w:val="221"/>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Bedding Group</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38   %</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8"/>
        </w:trPr>
        <w:tc>
          <w:tcPr>
            <w:tcW w:w="3840" w:type="dxa"/>
            <w:vAlign w:val="bottom"/>
          </w:tcPr>
          <w:p>
            <w:pPr>
              <w:ind w:left="40"/>
              <w:spacing w:after="0"/>
              <w:rPr>
                <w:sz w:val="20"/>
                <w:szCs w:val="20"/>
                <w:color w:val="auto"/>
              </w:rPr>
            </w:pPr>
            <w:r>
              <w:rPr>
                <w:rFonts w:ascii="Arial" w:cs="Arial" w:eastAsia="Arial" w:hAnsi="Arial"/>
                <w:sz w:val="18"/>
                <w:szCs w:val="18"/>
                <w:color w:val="auto"/>
              </w:rPr>
              <w:t>Flooring &amp; Textile Products Group</w:t>
            </w:r>
          </w:p>
        </w:tc>
        <w:tc>
          <w:tcPr>
            <w:tcW w:w="1900" w:type="dxa"/>
            <w:vAlign w:val="bottom"/>
          </w:tcPr>
          <w:p>
            <w:pPr>
              <w:jc w:val="center"/>
              <w:ind w:left="451"/>
              <w:spacing w:after="0"/>
              <w:rPr>
                <w:sz w:val="20"/>
                <w:szCs w:val="20"/>
                <w:color w:val="auto"/>
              </w:rPr>
            </w:pPr>
            <w:r>
              <w:rPr>
                <w:rFonts w:ascii="Arial" w:cs="Arial" w:eastAsia="Arial" w:hAnsi="Arial"/>
                <w:sz w:val="18"/>
                <w:szCs w:val="18"/>
                <w:b w:val="1"/>
                <w:bCs w:val="1"/>
                <w:color w:val="auto"/>
                <w:w w:val="99"/>
              </w:rPr>
              <w:t>21</w:t>
            </w:r>
          </w:p>
        </w:tc>
        <w:tc>
          <w:tcPr>
            <w:tcW w:w="860" w:type="dxa"/>
            <w:vAlign w:val="bottom"/>
          </w:tcPr>
          <w:p>
            <w:pPr>
              <w:jc w:val="center"/>
              <w:ind w:right="331"/>
              <w:spacing w:after="0"/>
              <w:rPr>
                <w:sz w:val="20"/>
                <w:szCs w:val="20"/>
                <w:color w:val="auto"/>
              </w:rPr>
            </w:pPr>
            <w:r>
              <w:rPr>
                <w:rFonts w:ascii="Arial" w:cs="Arial" w:eastAsia="Arial" w:hAnsi="Arial"/>
                <w:sz w:val="18"/>
                <w:szCs w:val="18"/>
                <w:color w:val="auto"/>
                <w:w w:val="99"/>
              </w:rPr>
              <w:t>20</w:t>
            </w:r>
          </w:p>
        </w:tc>
        <w:tc>
          <w:tcPr>
            <w:tcW w:w="800" w:type="dxa"/>
            <w:vAlign w:val="bottom"/>
          </w:tcPr>
          <w:p>
            <w:pPr>
              <w:jc w:val="center"/>
              <w:ind w:right="271"/>
              <w:spacing w:after="0"/>
              <w:rPr>
                <w:sz w:val="20"/>
                <w:szCs w:val="20"/>
                <w:color w:val="auto"/>
              </w:rPr>
            </w:pPr>
            <w:r>
              <w:rPr>
                <w:rFonts w:ascii="Arial" w:cs="Arial" w:eastAsia="Arial" w:hAnsi="Arial"/>
                <w:sz w:val="18"/>
                <w:szCs w:val="18"/>
                <w:color w:val="auto"/>
                <w:w w:val="99"/>
              </w:rPr>
              <w:t>19</w:t>
            </w:r>
          </w:p>
        </w:tc>
      </w:tr>
      <w:tr>
        <w:trPr>
          <w:trHeight w:val="228"/>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 Group</w:t>
            </w:r>
          </w:p>
        </w:tc>
        <w:tc>
          <w:tcPr>
            <w:tcW w:w="1900" w:type="dxa"/>
            <w:vAlign w:val="bottom"/>
            <w:shd w:val="clear" w:color="auto" w:fill="CCEEFF"/>
          </w:tcPr>
          <w:p>
            <w:pPr>
              <w:jc w:val="center"/>
              <w:ind w:left="451"/>
              <w:spacing w:after="0"/>
              <w:rPr>
                <w:sz w:val="20"/>
                <w:szCs w:val="20"/>
                <w:color w:val="auto"/>
              </w:rPr>
            </w:pPr>
            <w:r>
              <w:rPr>
                <w:rFonts w:ascii="Arial" w:cs="Arial" w:eastAsia="Arial" w:hAnsi="Arial"/>
                <w:sz w:val="18"/>
                <w:szCs w:val="18"/>
                <w:b w:val="1"/>
                <w:bCs w:val="1"/>
                <w:color w:val="auto"/>
                <w:w w:val="99"/>
              </w:rPr>
              <w:t>20</w:t>
            </w:r>
          </w:p>
        </w:tc>
        <w:tc>
          <w:tcPr>
            <w:tcW w:w="860" w:type="dxa"/>
            <w:vAlign w:val="bottom"/>
            <w:shd w:val="clear" w:color="auto" w:fill="CCEEFF"/>
          </w:tcPr>
          <w:p>
            <w:pPr>
              <w:jc w:val="center"/>
              <w:ind w:right="331"/>
              <w:spacing w:after="0"/>
              <w:rPr>
                <w:sz w:val="20"/>
                <w:szCs w:val="20"/>
                <w:color w:val="auto"/>
              </w:rPr>
            </w:pPr>
            <w:r>
              <w:rPr>
                <w:rFonts w:ascii="Arial" w:cs="Arial" w:eastAsia="Arial" w:hAnsi="Arial"/>
                <w:sz w:val="18"/>
                <w:szCs w:val="18"/>
                <w:color w:val="auto"/>
                <w:w w:val="99"/>
              </w:rPr>
              <w:t>19</w:t>
            </w:r>
          </w:p>
        </w:tc>
        <w:tc>
          <w:tcPr>
            <w:tcW w:w="800" w:type="dxa"/>
            <w:vAlign w:val="bottom"/>
            <w:shd w:val="clear" w:color="auto" w:fill="CCEEFF"/>
          </w:tcPr>
          <w:p>
            <w:pPr>
              <w:jc w:val="center"/>
              <w:ind w:right="271"/>
              <w:spacing w:after="0"/>
              <w:rPr>
                <w:sz w:val="20"/>
                <w:szCs w:val="20"/>
                <w:color w:val="auto"/>
              </w:rPr>
            </w:pPr>
            <w:r>
              <w:rPr>
                <w:rFonts w:ascii="Arial" w:cs="Arial" w:eastAsia="Arial" w:hAnsi="Arial"/>
                <w:sz w:val="18"/>
                <w:szCs w:val="18"/>
                <w:color w:val="auto"/>
                <w:w w:val="99"/>
              </w:rPr>
              <w:t>19</w:t>
            </w:r>
          </w:p>
        </w:tc>
      </w:tr>
      <w:tr>
        <w:trPr>
          <w:trHeight w:val="228"/>
        </w:trPr>
        <w:tc>
          <w:tcPr>
            <w:tcW w:w="3840" w:type="dxa"/>
            <w:vAlign w:val="bottom"/>
          </w:tcPr>
          <w:p>
            <w:pPr>
              <w:ind w:left="40"/>
              <w:spacing w:after="0"/>
              <w:rPr>
                <w:sz w:val="20"/>
                <w:szCs w:val="20"/>
                <w:color w:val="auto"/>
              </w:rPr>
            </w:pPr>
            <w:r>
              <w:rPr>
                <w:rFonts w:ascii="Arial" w:cs="Arial" w:eastAsia="Arial" w:hAnsi="Arial"/>
                <w:sz w:val="18"/>
                <w:szCs w:val="18"/>
                <w:color w:val="auto"/>
              </w:rPr>
              <w:t>Work Furniture Group</w:t>
            </w:r>
          </w:p>
        </w:tc>
        <w:tc>
          <w:tcPr>
            <w:tcW w:w="1900" w:type="dxa"/>
            <w:vAlign w:val="bottom"/>
          </w:tcPr>
          <w:p>
            <w:pPr>
              <w:jc w:val="center"/>
              <w:ind w:left="471"/>
              <w:spacing w:after="0"/>
              <w:rPr>
                <w:sz w:val="20"/>
                <w:szCs w:val="20"/>
                <w:color w:val="auto"/>
              </w:rPr>
            </w:pPr>
            <w:r>
              <w:rPr>
                <w:rFonts w:ascii="Arial" w:cs="Arial" w:eastAsia="Arial" w:hAnsi="Arial"/>
                <w:sz w:val="18"/>
                <w:szCs w:val="18"/>
                <w:b w:val="1"/>
                <w:bCs w:val="1"/>
                <w:color w:val="auto"/>
                <w:w w:val="99"/>
              </w:rPr>
              <w:t>7</w:t>
            </w:r>
          </w:p>
        </w:tc>
        <w:tc>
          <w:tcPr>
            <w:tcW w:w="860" w:type="dxa"/>
            <w:vAlign w:val="bottom"/>
          </w:tcPr>
          <w:p>
            <w:pPr>
              <w:jc w:val="center"/>
              <w:ind w:right="351"/>
              <w:spacing w:after="0"/>
              <w:rPr>
                <w:sz w:val="20"/>
                <w:szCs w:val="20"/>
                <w:color w:val="auto"/>
              </w:rPr>
            </w:pPr>
            <w:r>
              <w:rPr>
                <w:rFonts w:ascii="Arial" w:cs="Arial" w:eastAsia="Arial" w:hAnsi="Arial"/>
                <w:sz w:val="18"/>
                <w:szCs w:val="18"/>
                <w:color w:val="auto"/>
                <w:w w:val="99"/>
              </w:rPr>
              <w:t>6</w:t>
            </w:r>
          </w:p>
        </w:tc>
        <w:tc>
          <w:tcPr>
            <w:tcW w:w="800" w:type="dxa"/>
            <w:vAlign w:val="bottom"/>
          </w:tcPr>
          <w:p>
            <w:pPr>
              <w:jc w:val="center"/>
              <w:ind w:right="291"/>
              <w:spacing w:after="0"/>
              <w:rPr>
                <w:sz w:val="20"/>
                <w:szCs w:val="20"/>
                <w:color w:val="auto"/>
              </w:rPr>
            </w:pPr>
            <w:r>
              <w:rPr>
                <w:rFonts w:ascii="Arial" w:cs="Arial" w:eastAsia="Arial" w:hAnsi="Arial"/>
                <w:sz w:val="18"/>
                <w:szCs w:val="18"/>
                <w:color w:val="auto"/>
                <w:w w:val="99"/>
              </w:rPr>
              <w:t>6</w:t>
            </w:r>
          </w:p>
        </w:tc>
      </w:tr>
      <w:tr>
        <w:trPr>
          <w:trHeight w:val="228"/>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Home Furniture Group</w:t>
            </w:r>
          </w:p>
        </w:tc>
        <w:tc>
          <w:tcPr>
            <w:tcW w:w="1900" w:type="dxa"/>
            <w:vAlign w:val="bottom"/>
            <w:shd w:val="clear" w:color="auto" w:fill="CCEEFF"/>
          </w:tcPr>
          <w:p>
            <w:pPr>
              <w:jc w:val="center"/>
              <w:ind w:left="471"/>
              <w:spacing w:after="0"/>
              <w:rPr>
                <w:sz w:val="20"/>
                <w:szCs w:val="20"/>
                <w:color w:val="auto"/>
              </w:rPr>
            </w:pPr>
            <w:r>
              <w:rPr>
                <w:rFonts w:ascii="Arial" w:cs="Arial" w:eastAsia="Arial" w:hAnsi="Arial"/>
                <w:sz w:val="18"/>
                <w:szCs w:val="18"/>
                <w:b w:val="1"/>
                <w:bCs w:val="1"/>
                <w:color w:val="auto"/>
                <w:w w:val="99"/>
              </w:rPr>
              <w:t>6</w:t>
            </w:r>
          </w:p>
        </w:tc>
        <w:tc>
          <w:tcPr>
            <w:tcW w:w="860" w:type="dxa"/>
            <w:vAlign w:val="bottom"/>
            <w:shd w:val="clear" w:color="auto" w:fill="CCEEFF"/>
          </w:tcPr>
          <w:p>
            <w:pPr>
              <w:jc w:val="center"/>
              <w:ind w:right="351"/>
              <w:spacing w:after="0"/>
              <w:rPr>
                <w:sz w:val="20"/>
                <w:szCs w:val="20"/>
                <w:color w:val="auto"/>
              </w:rPr>
            </w:pPr>
            <w:r>
              <w:rPr>
                <w:rFonts w:ascii="Arial" w:cs="Arial" w:eastAsia="Arial" w:hAnsi="Arial"/>
                <w:sz w:val="18"/>
                <w:szCs w:val="18"/>
                <w:color w:val="auto"/>
                <w:w w:val="99"/>
              </w:rPr>
              <w:t>6</w:t>
            </w:r>
          </w:p>
        </w:tc>
        <w:tc>
          <w:tcPr>
            <w:tcW w:w="80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9"/>
              </w:rPr>
              <w:t>6</w:t>
            </w:r>
          </w:p>
        </w:tc>
      </w:tr>
      <w:tr>
        <w:trPr>
          <w:trHeight w:val="228"/>
        </w:trPr>
        <w:tc>
          <w:tcPr>
            <w:tcW w:w="3840" w:type="dxa"/>
            <w:vAlign w:val="bottom"/>
          </w:tcPr>
          <w:p>
            <w:pPr>
              <w:ind w:left="40"/>
              <w:spacing w:after="0"/>
              <w:rPr>
                <w:sz w:val="20"/>
                <w:szCs w:val="20"/>
                <w:color w:val="auto"/>
              </w:rPr>
            </w:pPr>
            <w:r>
              <w:rPr>
                <w:rFonts w:ascii="Arial" w:cs="Arial" w:eastAsia="Arial" w:hAnsi="Arial"/>
                <w:sz w:val="18"/>
                <w:szCs w:val="18"/>
                <w:color w:val="auto"/>
              </w:rPr>
              <w:t>Hydraulic Cylinders Group</w:t>
            </w:r>
          </w:p>
        </w:tc>
        <w:tc>
          <w:tcPr>
            <w:tcW w:w="1900" w:type="dxa"/>
            <w:vAlign w:val="bottom"/>
          </w:tcPr>
          <w:p>
            <w:pPr>
              <w:jc w:val="center"/>
              <w:ind w:left="471"/>
              <w:spacing w:after="0"/>
              <w:rPr>
                <w:sz w:val="20"/>
                <w:szCs w:val="20"/>
                <w:color w:val="auto"/>
              </w:rPr>
            </w:pPr>
            <w:r>
              <w:rPr>
                <w:rFonts w:ascii="Arial" w:cs="Arial" w:eastAsia="Arial" w:hAnsi="Arial"/>
                <w:sz w:val="18"/>
                <w:szCs w:val="18"/>
                <w:b w:val="1"/>
                <w:bCs w:val="1"/>
                <w:color w:val="auto"/>
                <w:w w:val="99"/>
              </w:rPr>
              <w:t>5</w:t>
            </w:r>
          </w:p>
        </w:tc>
        <w:tc>
          <w:tcPr>
            <w:tcW w:w="860" w:type="dxa"/>
            <w:vAlign w:val="bottom"/>
          </w:tcPr>
          <w:p>
            <w:pPr>
              <w:jc w:val="center"/>
              <w:ind w:right="351"/>
              <w:spacing w:after="0"/>
              <w:rPr>
                <w:sz w:val="20"/>
                <w:szCs w:val="20"/>
                <w:color w:val="auto"/>
              </w:rPr>
            </w:pPr>
            <w:r>
              <w:rPr>
                <w:rFonts w:ascii="Arial" w:cs="Arial" w:eastAsia="Arial" w:hAnsi="Arial"/>
                <w:sz w:val="18"/>
                <w:szCs w:val="18"/>
                <w:color w:val="auto"/>
                <w:w w:val="99"/>
              </w:rPr>
              <w:t>5</w:t>
            </w:r>
          </w:p>
        </w:tc>
        <w:tc>
          <w:tcPr>
            <w:tcW w:w="800" w:type="dxa"/>
            <w:vAlign w:val="bottom"/>
          </w:tcPr>
          <w:p>
            <w:pPr>
              <w:jc w:val="center"/>
              <w:ind w:right="291"/>
              <w:spacing w:after="0"/>
              <w:rPr>
                <w:sz w:val="20"/>
                <w:szCs w:val="20"/>
                <w:color w:val="auto"/>
              </w:rPr>
            </w:pPr>
            <w:r>
              <w:rPr>
                <w:rFonts w:ascii="Arial" w:cs="Arial" w:eastAsia="Arial" w:hAnsi="Arial"/>
                <w:sz w:val="18"/>
                <w:szCs w:val="18"/>
                <w:color w:val="auto"/>
                <w:w w:val="99"/>
              </w:rPr>
              <w:t>5</w:t>
            </w:r>
          </w:p>
        </w:tc>
      </w:tr>
      <w:tr>
        <w:trPr>
          <w:trHeight w:val="228"/>
        </w:trPr>
        <w:tc>
          <w:tcPr>
            <w:tcW w:w="3840" w:type="dxa"/>
            <w:vAlign w:val="bottom"/>
            <w:shd w:val="clear" w:color="auto" w:fill="CCEEFF"/>
          </w:tcPr>
          <w:p>
            <w:pPr>
              <w:ind w:left="40"/>
              <w:spacing w:after="0" w:line="227" w:lineRule="exact"/>
              <w:rPr>
                <w:sz w:val="20"/>
                <w:szCs w:val="20"/>
                <w:color w:val="auto"/>
              </w:rPr>
            </w:pPr>
            <w:r>
              <w:rPr>
                <w:rFonts w:ascii="Arial" w:cs="Arial" w:eastAsia="Arial" w:hAnsi="Arial"/>
                <w:sz w:val="17"/>
                <w:szCs w:val="17"/>
                <w:color w:val="auto"/>
              </w:rPr>
              <w:t xml:space="preserve">Aerospace Products Group </w:t>
            </w:r>
            <w:r>
              <w:rPr>
                <w:rFonts w:ascii="Arial" w:cs="Arial" w:eastAsia="Arial" w:hAnsi="Arial"/>
                <w:sz w:val="26"/>
                <w:szCs w:val="26"/>
                <w:b w:val="1"/>
                <w:bCs w:val="1"/>
                <w:color w:val="auto"/>
                <w:vertAlign w:val="superscript"/>
              </w:rPr>
              <w:t>1</w:t>
            </w:r>
          </w:p>
        </w:tc>
        <w:tc>
          <w:tcPr>
            <w:tcW w:w="1900" w:type="dxa"/>
            <w:vAlign w:val="bottom"/>
            <w:shd w:val="clear" w:color="auto" w:fill="CCEEFF"/>
          </w:tcPr>
          <w:p>
            <w:pPr>
              <w:jc w:val="center"/>
              <w:ind w:left="471"/>
              <w:spacing w:after="0"/>
              <w:rPr>
                <w:sz w:val="20"/>
                <w:szCs w:val="20"/>
                <w:color w:val="auto"/>
              </w:rPr>
            </w:pPr>
            <w:r>
              <w:rPr>
                <w:rFonts w:ascii="Arial" w:cs="Arial" w:eastAsia="Arial" w:hAnsi="Arial"/>
                <w:sz w:val="18"/>
                <w:szCs w:val="18"/>
                <w:b w:val="1"/>
                <w:bCs w:val="1"/>
                <w:color w:val="auto"/>
                <w:w w:val="99"/>
              </w:rPr>
              <w:t>3</w:t>
            </w:r>
          </w:p>
        </w:tc>
        <w:tc>
          <w:tcPr>
            <w:tcW w:w="860" w:type="dxa"/>
            <w:vAlign w:val="bottom"/>
            <w:shd w:val="clear" w:color="auto" w:fill="CCEEFF"/>
          </w:tcPr>
          <w:p>
            <w:pPr>
              <w:jc w:val="center"/>
              <w:ind w:right="351"/>
              <w:spacing w:after="0"/>
              <w:rPr>
                <w:sz w:val="20"/>
                <w:szCs w:val="20"/>
                <w:color w:val="auto"/>
              </w:rPr>
            </w:pPr>
            <w:r>
              <w:rPr>
                <w:rFonts w:ascii="Arial" w:cs="Arial" w:eastAsia="Arial" w:hAnsi="Arial"/>
                <w:sz w:val="18"/>
                <w:szCs w:val="18"/>
                <w:color w:val="auto"/>
                <w:w w:val="99"/>
              </w:rPr>
              <w:t>4</w:t>
            </w:r>
          </w:p>
        </w:tc>
        <w:tc>
          <w:tcPr>
            <w:tcW w:w="80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9"/>
              </w:rPr>
              <w:t>3</w:t>
            </w:r>
          </w:p>
        </w:tc>
      </w:tr>
    </w:tbl>
    <w:p>
      <w:pPr>
        <w:ind w:left="3500" w:hanging="122"/>
        <w:spacing w:after="0" w:line="221" w:lineRule="auto"/>
        <w:tabs>
          <w:tab w:leader="none" w:pos="3500" w:val="left"/>
        </w:tabs>
        <w:numPr>
          <w:ilvl w:val="0"/>
          <w:numId w:val="16"/>
        </w:numPr>
        <w:rPr>
          <w:rFonts w:ascii="Arial" w:cs="Arial" w:eastAsia="Arial" w:hAnsi="Arial"/>
          <w:sz w:val="28"/>
          <w:szCs w:val="28"/>
          <w:b w:val="1"/>
          <w:bCs w:val="1"/>
          <w:color w:val="auto"/>
          <w:vertAlign w:val="superscript"/>
        </w:rPr>
      </w:pPr>
      <w:r>
        <w:rPr>
          <w:rFonts w:ascii="Arial" w:cs="Arial" w:eastAsia="Arial" w:hAnsi="Arial"/>
          <w:sz w:val="18"/>
          <w:szCs w:val="18"/>
          <w:color w:val="auto"/>
        </w:rPr>
        <w:t>In August 2025, we divested our Aerospace Products Group.</w:t>
      </w:r>
    </w:p>
    <w:p>
      <w:pPr>
        <w:spacing w:after="0" w:line="91" w:lineRule="exact"/>
        <w:rPr>
          <w:sz w:val="20"/>
          <w:szCs w:val="20"/>
          <w:color w:val="auto"/>
        </w:rPr>
      </w:pPr>
    </w:p>
    <w:p>
      <w:pPr>
        <w:ind w:right="360" w:firstLine="402"/>
        <w:spacing w:after="0" w:line="275" w:lineRule="auto"/>
        <w:rPr>
          <w:sz w:val="20"/>
          <w:szCs w:val="20"/>
          <w:color w:val="auto"/>
        </w:rPr>
      </w:pPr>
      <w:r>
        <w:rPr>
          <w:rFonts w:ascii="Arial" w:cs="Arial" w:eastAsia="Arial" w:hAnsi="Arial"/>
          <w:sz w:val="18"/>
          <w:szCs w:val="18"/>
          <w:color w:val="auto"/>
        </w:rPr>
        <w:t>We do not have a material amount of sales derived from government contracts subject to renegotiation of profits or termination at the election of any government. As such, our business is not materially dependent upon governmental customers</w:t>
      </w:r>
      <w:r>
        <w:rPr>
          <w:rFonts w:ascii="Arial" w:cs="Arial" w:eastAsia="Arial" w:hAnsi="Arial"/>
          <w:sz w:val="21"/>
          <w:szCs w:val="21"/>
          <w:color w:val="008080"/>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Distribution of Products</w:t>
      </w:r>
    </w:p>
    <w:p>
      <w:pPr>
        <w:spacing w:after="0" w:line="115" w:lineRule="exact"/>
        <w:rPr>
          <w:sz w:val="20"/>
          <w:szCs w:val="20"/>
          <w:color w:val="auto"/>
        </w:rPr>
      </w:pPr>
    </w:p>
    <w:p>
      <w:pPr>
        <w:ind w:right="560" w:firstLine="402"/>
        <w:spacing w:after="0" w:line="288" w:lineRule="auto"/>
        <w:rPr>
          <w:sz w:val="20"/>
          <w:szCs w:val="20"/>
          <w:color w:val="auto"/>
        </w:rPr>
      </w:pPr>
      <w:r>
        <w:rPr>
          <w:rFonts w:ascii="Arial" w:cs="Arial" w:eastAsia="Arial" w:hAnsi="Arial"/>
          <w:sz w:val="17"/>
          <w:szCs w:val="17"/>
          <w:color w:val="auto"/>
        </w:rPr>
        <w:t>We sell and distribute our products primarily through our own personnel. However, many of our businesses have relationships and agreements with outside sales representatives and distributors. We do not believe any of these agreements or relationships would, if terminated, have a material adverse effect on our consolidated financial condition, operating cash flows,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Sources and Availability of Raw Materials</w:t>
      </w:r>
    </w:p>
    <w:p>
      <w:pPr>
        <w:spacing w:after="0" w:line="102" w:lineRule="exact"/>
        <w:rPr>
          <w:sz w:val="20"/>
          <w:szCs w:val="20"/>
          <w:color w:val="auto"/>
        </w:rPr>
      </w:pPr>
    </w:p>
    <w:p>
      <w:pPr>
        <w:ind w:right="220" w:firstLine="402"/>
        <w:spacing w:after="0" w:line="272" w:lineRule="auto"/>
        <w:rPr>
          <w:sz w:val="20"/>
          <w:szCs w:val="20"/>
          <w:color w:val="auto"/>
        </w:rPr>
      </w:pPr>
      <w:r>
        <w:rPr>
          <w:rFonts w:ascii="Arial" w:cs="Arial" w:eastAsia="Arial" w:hAnsi="Arial"/>
          <w:sz w:val="18"/>
          <w:szCs w:val="18"/>
          <w:color w:val="auto"/>
        </w:rPr>
        <w:t>The products we manufacture require a variety of raw materials. We believe that worldwide supply sources are available for all the raw materials we use, as explained below. Among the most important raw materials we use are:</w:t>
      </w:r>
    </w:p>
    <w:p>
      <w:pPr>
        <w:ind w:left="1080" w:hanging="9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types of steel, including scrap, rod, wire, sheet, and stainless</w:t>
      </w:r>
    </w:p>
    <w:p>
      <w:pPr>
        <w:spacing w:after="0" w:line="28" w:lineRule="exact"/>
        <w:rPr>
          <w:rFonts w:ascii="Arial" w:cs="Arial" w:eastAsia="Arial" w:hAnsi="Arial"/>
          <w:sz w:val="18"/>
          <w:szCs w:val="18"/>
          <w:color w:val="auto"/>
        </w:rPr>
      </w:pPr>
    </w:p>
    <w:p>
      <w:pPr>
        <w:ind w:left="1080" w:hanging="9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Chemicals used in foam production</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Foam scrap</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Woven and nonwoven fabrics</w:t>
      </w:r>
    </w:p>
    <w:p>
      <w:pPr>
        <w:spacing w:after="0" w:line="20" w:lineRule="exact"/>
        <w:rPr>
          <w:rFonts w:ascii="Arial" w:cs="Arial" w:eastAsia="Arial" w:hAnsi="Arial"/>
          <w:sz w:val="18"/>
          <w:szCs w:val="18"/>
          <w:color w:val="auto"/>
        </w:rPr>
      </w:pPr>
    </w:p>
    <w:p>
      <w:pPr>
        <w:ind w:left="1080" w:hanging="9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Electronic systems (including semiconductors)</w:t>
      </w:r>
    </w:p>
    <w:p>
      <w:pPr>
        <w:spacing w:after="0" w:line="187" w:lineRule="exact"/>
        <w:rPr>
          <w:sz w:val="20"/>
          <w:szCs w:val="20"/>
          <w:color w:val="auto"/>
        </w:rPr>
      </w:pPr>
    </w:p>
    <w:p>
      <w:pPr>
        <w:ind w:right="160" w:firstLine="402"/>
        <w:spacing w:after="0" w:line="276" w:lineRule="auto"/>
        <w:rPr>
          <w:sz w:val="20"/>
          <w:szCs w:val="20"/>
          <w:color w:val="auto"/>
        </w:rPr>
      </w:pPr>
      <w:r>
        <w:rPr>
          <w:rFonts w:ascii="Arial" w:cs="Arial" w:eastAsia="Arial" w:hAnsi="Arial"/>
          <w:sz w:val="17"/>
          <w:szCs w:val="17"/>
          <w:color w:val="auto"/>
        </w:rPr>
        <w:t>We supply our own raw materials for many of the products we make. For example, we produce steel rod that we make into steel wire, which we then use to manufacture innersprings and static foundations for mattresses. Our domestic wire drawing mills purchase nearly all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steel rod requirements from our rod mill. Our wire drawing mills supply nearly all of our U.S. requirements for steel wire</w:t>
      </w:r>
      <w:r>
        <w:rPr>
          <w:rFonts w:ascii="Arial" w:cs="Arial" w:eastAsia="Arial" w:hAnsi="Arial"/>
          <w:sz w:val="21"/>
          <w:szCs w:val="2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Customer Concentration</w:t>
      </w:r>
    </w:p>
    <w:p>
      <w:pPr>
        <w:spacing w:after="0" w:line="115"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We serve thousands of customers worldwide, sustaining many long-term business relationships. Our largest customer represented approximately 7% of our 2025 consolidated revenue. Our top 10 customers accounted for approximately 31% of these consolidated revenues. The loss of one or more of these customers could have a material adverse effect on the Company and the respective segments in which the customer’s sales are reported.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Patents and Trademarks</w:t>
      </w:r>
    </w:p>
    <w:p>
      <w:pPr>
        <w:spacing w:after="0" w:line="115" w:lineRule="exact"/>
        <w:rPr>
          <w:sz w:val="20"/>
          <w:szCs w:val="20"/>
          <w:color w:val="auto"/>
        </w:rPr>
      </w:pPr>
    </w:p>
    <w:p>
      <w:pPr>
        <w:ind w:right="160" w:firstLine="402"/>
        <w:spacing w:after="0" w:line="257" w:lineRule="auto"/>
        <w:rPr>
          <w:sz w:val="20"/>
          <w:szCs w:val="20"/>
          <w:color w:val="auto"/>
        </w:rPr>
      </w:pPr>
      <w:r>
        <w:rPr>
          <w:rFonts w:ascii="Arial" w:cs="Arial" w:eastAsia="Arial" w:hAnsi="Arial"/>
          <w:sz w:val="18"/>
          <w:szCs w:val="18"/>
          <w:color w:val="auto"/>
        </w:rPr>
        <w:t>As of December 31, 2025, we had 1,247 patents issued, 486 patents in process, 909 trademarks registered, and 62 trademarks in process. No single patent or group of patents, or trademark or group of trademarks, is material to our operations as a whole. A significant number of our patents relate to products manufactured in each of our three segments, while over half of our trademarks relate to products manufactured by the Bedding Products segment. The expiration of any single patent would not have a material negative effect on our results of operations or financial condition.</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Some of the most significant trademarks used in our businesses include:</w:t>
      </w:r>
    </w:p>
    <w:p>
      <w:pPr>
        <w:spacing w:after="0" w:line="34" w:lineRule="exact"/>
        <w:rPr>
          <w:sz w:val="20"/>
          <w:szCs w:val="20"/>
          <w:color w:val="auto"/>
        </w:rPr>
      </w:pPr>
    </w:p>
    <w:p>
      <w:pPr>
        <w:ind w:left="780" w:right="1520" w:hanging="95"/>
        <w:spacing w:after="0" w:line="196"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ComfortCore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Quantum</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Eco-Base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CombiCore</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Nanocoil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Softech</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Active Support Technology</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Mira-Coil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VertiCoil</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(mattress innersprings)</w:t>
      </w:r>
    </w:p>
    <w:p>
      <w:pPr>
        <w:spacing w:after="0" w:line="1" w:lineRule="exact"/>
        <w:rPr>
          <w:rFonts w:ascii="Times New Roman" w:cs="Times New Roman" w:eastAsia="Times New Roman" w:hAnsi="Times New Roman"/>
          <w:sz w:val="20"/>
          <w:szCs w:val="20"/>
          <w:color w:val="auto"/>
        </w:rPr>
      </w:pPr>
    </w:p>
    <w:p>
      <w:pPr>
        <w:ind w:left="780" w:hanging="95"/>
        <w:spacing w:after="0" w:line="232"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Energex</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Coolflow</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ThermaGel</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EcoFlow</w:t>
      </w:r>
      <w:r>
        <w:rPr>
          <w:rFonts w:ascii="Arial" w:cs="Arial" w:eastAsia="Arial" w:hAnsi="Arial"/>
          <w:sz w:val="27"/>
          <w:szCs w:val="27"/>
          <w:b w:val="1"/>
          <w:bCs w:val="1"/>
          <w:color w:val="auto"/>
          <w:vertAlign w:val="superscript"/>
        </w:rPr>
        <w:t>TM</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and</w:t>
      </w:r>
      <w:r>
        <w:rPr>
          <w:rFonts w:ascii="Arial" w:cs="Arial" w:eastAsia="Arial" w:hAnsi="Arial"/>
          <w:sz w:val="21"/>
          <w:szCs w:val="21"/>
          <w:b w:val="1"/>
          <w:bCs w:val="1"/>
          <w:color w:val="auto"/>
        </w:rPr>
        <w:t xml:space="preserve"> Gorilla Foam</w:t>
      </w:r>
      <w:r>
        <w:rPr>
          <w:rFonts w:ascii="Arial" w:cs="Arial" w:eastAsia="Arial" w:hAnsi="Arial"/>
          <w:sz w:val="27"/>
          <w:szCs w:val="27"/>
          <w:b w:val="1"/>
          <w:bCs w:val="1"/>
          <w:color w:val="auto"/>
          <w:vertAlign w:val="superscript"/>
        </w:rPr>
        <w:t>TM</w:t>
      </w:r>
      <w:r>
        <w:rPr>
          <w:rFonts w:ascii="Arial" w:cs="Arial" w:eastAsia="Arial" w:hAnsi="Arial"/>
          <w:sz w:val="21"/>
          <w:szCs w:val="21"/>
          <w:b w:val="1"/>
          <w:bCs w:val="1"/>
          <w:color w:val="auto"/>
        </w:rPr>
        <w:t xml:space="preserve"> </w:t>
      </w:r>
      <w:r>
        <w:rPr>
          <w:rFonts w:ascii="Arial" w:cs="Arial" w:eastAsia="Arial" w:hAnsi="Arial"/>
          <w:sz w:val="17"/>
          <w:szCs w:val="17"/>
          <w:color w:val="auto"/>
        </w:rPr>
        <w:t>(specialty foam products)</w:t>
      </w:r>
    </w:p>
    <w:p>
      <w:pPr>
        <w:ind w:left="780" w:hanging="95"/>
        <w:spacing w:after="0" w:line="207"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Semi-Flex</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(box spring components and foundations)</w:t>
      </w:r>
    </w:p>
    <w:p>
      <w:pPr>
        <w:ind w:left="780" w:hanging="95"/>
        <w:spacing w:after="0" w:line="182"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Spuhl</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(mattress innerspring manufacturing machines)</w:t>
      </w:r>
    </w:p>
    <w:p>
      <w:pPr>
        <w:ind w:left="780" w:hanging="95"/>
        <w:spacing w:after="0" w:line="232"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Wall Hugger</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(recliner chair mechanisms)</w:t>
      </w:r>
    </w:p>
    <w:p>
      <w:pPr>
        <w:ind w:left="780" w:hanging="95"/>
        <w:spacing w:after="0" w:line="207"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No-Sag</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(wire forms used in seating)</w:t>
      </w:r>
    </w:p>
    <w:p>
      <w:pPr>
        <w:ind w:left="780" w:hanging="95"/>
        <w:spacing w:after="0" w:line="207"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LPSense</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(capacitive sensing)</w:t>
      </w:r>
    </w:p>
    <w:p>
      <w:pPr>
        <w:ind w:left="780" w:hanging="95"/>
        <w:spacing w:after="0" w:line="207" w:lineRule="auto"/>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Hanes</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(fabric materials)</w:t>
      </w:r>
    </w:p>
    <w:p>
      <w:pPr>
        <w:ind w:left="780" w:hanging="95"/>
        <w:spacing w:after="0"/>
        <w:tabs>
          <w:tab w:leader="none" w:pos="78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1"/>
          <w:szCs w:val="21"/>
          <w:b w:val="1"/>
          <w:bCs w:val="1"/>
          <w:color w:val="auto"/>
        </w:rPr>
        <w:t>Schukra</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17"/>
          <w:szCs w:val="17"/>
          <w:color w:val="auto"/>
        </w:rPr>
        <w:t>(automotive seating products)</w:t>
      </w:r>
    </w:p>
    <w:p>
      <w:pPr>
        <w:spacing w:after="0" w:line="16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Product Development</w:t>
      </w:r>
    </w:p>
    <w:p>
      <w:pPr>
        <w:spacing w:after="0" w:line="113" w:lineRule="exact"/>
        <w:rPr>
          <w:sz w:val="20"/>
          <w:szCs w:val="20"/>
          <w:color w:val="auto"/>
        </w:rPr>
      </w:pPr>
    </w:p>
    <w:p>
      <w:pPr>
        <w:ind w:right="200" w:firstLine="402"/>
        <w:spacing w:after="0" w:line="221" w:lineRule="auto"/>
        <w:rPr>
          <w:sz w:val="20"/>
          <w:szCs w:val="20"/>
          <w:color w:val="auto"/>
        </w:rPr>
      </w:pPr>
      <w:r>
        <w:rPr>
          <w:rFonts w:ascii="Arial" w:cs="Arial" w:eastAsia="Arial" w:hAnsi="Arial"/>
          <w:sz w:val="18"/>
          <w:szCs w:val="18"/>
          <w:color w:val="auto"/>
        </w:rPr>
        <w:t>One of our strongest performing product categories across the Company is ComfortCore</w:t>
      </w:r>
      <w:r>
        <w:rPr>
          <w:rFonts w:ascii="Arial" w:cs="Arial" w:eastAsia="Arial" w:hAnsi="Arial"/>
          <w:sz w:val="23"/>
          <w:szCs w:val="23"/>
          <w:color w:val="auto"/>
          <w:vertAlign w:val="superscript"/>
        </w:rPr>
        <w:t>®</w:t>
      </w:r>
      <w:r>
        <w:rPr>
          <w:rFonts w:ascii="Arial" w:cs="Arial" w:eastAsia="Arial" w:hAnsi="Arial"/>
          <w:sz w:val="18"/>
          <w:szCs w:val="18"/>
          <w:color w:val="auto"/>
        </w:rPr>
        <w:t>, our fabric-encased innerspring coils used in hybrid mattresses.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represented more than 75% of our U.S. innerspring units in 2025. Our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innersprings can be further enhanced with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and Eco-Base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features.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units are narrow-diameter, fabric-encased coils that form a perimeter around an innerspring set, replacing a rigid foam perimeter in a finished mattress. In 2025, over 50% of our ComfortCore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innersprings in the United States had the Quantum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Edge feature.</w:t>
      </w:r>
    </w:p>
    <w:p>
      <w:pPr>
        <w:spacing w:after="0" w:line="2" w:lineRule="exact"/>
        <w:rPr>
          <w:sz w:val="20"/>
          <w:szCs w:val="20"/>
          <w:color w:val="auto"/>
        </w:rPr>
      </w:pPr>
    </w:p>
    <w:p>
      <w:pPr>
        <w:jc w:val="both"/>
        <w:ind w:right="80" w:firstLine="402"/>
        <w:spacing w:after="0" w:line="258" w:lineRule="auto"/>
        <w:rPr>
          <w:sz w:val="20"/>
          <w:szCs w:val="20"/>
          <w:color w:val="auto"/>
        </w:rPr>
      </w:pPr>
      <w:r>
        <w:rPr>
          <w:rFonts w:ascii="Arial" w:cs="Arial" w:eastAsia="Arial" w:hAnsi="Arial"/>
          <w:sz w:val="18"/>
          <w:szCs w:val="18"/>
          <w:color w:val="auto"/>
        </w:rPr>
        <w:t>Our Specialty Foam business formulates many of the chemicals and additives used in the production of specialty foams for the bedding and furniture industries. These branded, specialty polyols and additives enhance foam performance by reducing heat retention and improving mobility, support, and durability. Our innovations enable us to produce high-quality, differentiated compressed mattresses.</w:t>
      </w:r>
    </w:p>
    <w:p>
      <w:pPr>
        <w:spacing w:after="0" w:line="58" w:lineRule="exact"/>
        <w:rPr>
          <w:sz w:val="20"/>
          <w:szCs w:val="20"/>
          <w:color w:val="auto"/>
        </w:rPr>
      </w:pPr>
    </w:p>
    <w:p>
      <w:pPr>
        <w:ind w:right="40" w:firstLine="402"/>
        <w:spacing w:after="0" w:line="256" w:lineRule="auto"/>
        <w:rPr>
          <w:sz w:val="20"/>
          <w:szCs w:val="20"/>
          <w:color w:val="auto"/>
        </w:rPr>
      </w:pPr>
      <w:r>
        <w:rPr>
          <w:rFonts w:ascii="Arial" w:cs="Arial" w:eastAsia="Arial" w:hAnsi="Arial"/>
          <w:sz w:val="17"/>
          <w:szCs w:val="17"/>
          <w:color w:val="auto"/>
        </w:rPr>
        <w:t>We are leveraging our innerspring and specialty foam technologies to develop unique products that meet end-consumer needs while streamlining mattress manufacturing for our customers by reducing labor constraints and simplifying supply chain and inventory requirements. In 2023, we launched CombiCore</w:t>
      </w:r>
      <w:r>
        <w:rPr>
          <w:rFonts w:ascii="Arial" w:cs="Arial" w:eastAsia="Arial" w:hAnsi="Arial"/>
          <w:sz w:val="22"/>
          <w:szCs w:val="22"/>
          <w:color w:val="auto"/>
          <w:vertAlign w:val="superscript"/>
        </w:rPr>
        <w:t>®</w:t>
      </w:r>
      <w:r>
        <w:rPr>
          <w:rFonts w:ascii="Arial" w:cs="Arial" w:eastAsia="Arial" w:hAnsi="Arial"/>
          <w:sz w:val="17"/>
          <w:szCs w:val="17"/>
          <w:color w:val="auto"/>
        </w:rPr>
        <w:t>, a semi-finished mattress featuring fabric-encased perimeter edge innerspring and specialty foam columns that minimize motion disturbance from a sleeping partner and improve airflow. In 2024, we launched our pre-foam encased product, which features foam rails automatically attached to an Eco-Base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innerspring set during the innerspring production process.</w:t>
      </w:r>
    </w:p>
    <w:p>
      <w:pPr>
        <w:spacing w:after="0" w:line="1"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Our Automotive business designs and engineers lightweight components for comfort and in-car motion systems that help reduce overall vehicle weight and improve fuel efficiency (and thus reduce noise and greenhouse gas emissions), while maintaining performance, safety, and functionality. These products help auto manufacturers meet emission standards and their environmental goals for both internal combustion engines and electric vehicles.</w:t>
      </w:r>
    </w:p>
    <w:p>
      <w:pPr>
        <w:spacing w:after="0" w:line="45" w:lineRule="exact"/>
        <w:rPr>
          <w:sz w:val="20"/>
          <w:szCs w:val="20"/>
          <w:color w:val="auto"/>
        </w:rPr>
      </w:pPr>
    </w:p>
    <w:p>
      <w:pPr>
        <w:ind w:right="220" w:firstLine="402"/>
        <w:spacing w:after="0" w:line="282" w:lineRule="auto"/>
        <w:rPr>
          <w:sz w:val="20"/>
          <w:szCs w:val="20"/>
          <w:color w:val="auto"/>
        </w:rPr>
      </w:pPr>
      <w:r>
        <w:rPr>
          <w:rFonts w:ascii="Arial" w:cs="Arial" w:eastAsia="Arial" w:hAnsi="Arial"/>
          <w:sz w:val="18"/>
          <w:szCs w:val="18"/>
          <w:color w:val="auto"/>
        </w:rPr>
        <w:t>Across our other businesses, we are engaged in product development activities to improve product quality, increase efficiency, support ongoing growth, and help our customers achieve their goals.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Human Capital Management</w:t>
      </w:r>
    </w:p>
    <w:p>
      <w:pPr>
        <w:spacing w:after="0" w:line="115" w:lineRule="exact"/>
        <w:rPr>
          <w:sz w:val="20"/>
          <w:szCs w:val="20"/>
          <w:color w:val="auto"/>
        </w:rPr>
      </w:pPr>
    </w:p>
    <w:p>
      <w:pPr>
        <w:ind w:right="20" w:firstLine="402"/>
        <w:spacing w:after="0" w:line="275" w:lineRule="auto"/>
        <w:rPr>
          <w:sz w:val="20"/>
          <w:szCs w:val="20"/>
          <w:color w:val="auto"/>
        </w:rPr>
      </w:pPr>
      <w:r>
        <w:rPr>
          <w:rFonts w:ascii="Arial" w:cs="Arial" w:eastAsia="Arial" w:hAnsi="Arial"/>
          <w:sz w:val="17"/>
          <w:szCs w:val="17"/>
          <w:color w:val="auto"/>
        </w:rPr>
        <w:t>Our success depends on our ability to attract and retain talent, foster a culture of inclusion, respect, and equal opportunity, provide a safe and healthy work environment, train and develop our employees, and ensure productive succession planning efforts. The Board’s Human Resources and Compensation Committee has oversight of our human resources policies and programs, officer and director compensation, compensation plans, executive succession planning, and senior management leadership development. This oversight is designed to support our business objectives, to attract, retain, and develop high-quality leadership, and to link compensation with business performance.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Employees</w:t>
      </w:r>
    </w:p>
    <w:p>
      <w:pPr>
        <w:spacing w:after="0" w:line="103"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At year-end 2025, we had approximately 15,900 employees. Approximately 10,200 were engaged in production and roughly 9,400 were located outside the United States. Of the total employee base, approximately 4,700 worked in Bedding Products, 6,000 in Specialized Products, and 4,500 in Furniture, Flooring &amp; Textile Products, with the remainder serving in other roles across the organization. Also, at year-end 2025, approximately 17% of our employees were represented by labor unions that collectively bargain for work conditions, wages, or other issues. We did not experience any material work stoppage related to labor contract negotiations during 2025, and we are not aware of circumstances likely to result in a material work stoppage during 2026. At year-end 2024, we had approximately 17,700 employees.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Ability to Attract, Recruit, and Retain Employees</w:t>
      </w:r>
    </w:p>
    <w:p>
      <w:pPr>
        <w:spacing w:after="0" w:line="103"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color w:val="auto"/>
        </w:rPr>
        <w:t>We operate in competitive labor markets, and accordingly, we attract, recruit, and retain employees through competitive compensation and benefits, training and development programs that support career growth, and employee engagement initiatives designed to foster a strong, inclusive culture.</w:t>
      </w:r>
    </w:p>
    <w:p>
      <w:pPr>
        <w:spacing w:after="0" w:line="52" w:lineRule="exact"/>
        <w:rPr>
          <w:sz w:val="20"/>
          <w:szCs w:val="20"/>
          <w:color w:val="auto"/>
        </w:rPr>
      </w:pPr>
    </w:p>
    <w:p>
      <w:pPr>
        <w:ind w:right="120" w:firstLine="402"/>
        <w:spacing w:after="0" w:line="275" w:lineRule="auto"/>
        <w:rPr>
          <w:sz w:val="20"/>
          <w:szCs w:val="20"/>
          <w:color w:val="auto"/>
        </w:rPr>
      </w:pPr>
      <w:r>
        <w:rPr>
          <w:rFonts w:ascii="Arial" w:cs="Arial" w:eastAsia="Arial" w:hAnsi="Arial"/>
          <w:sz w:val="17"/>
          <w:szCs w:val="17"/>
          <w:i w:val="1"/>
          <w:iCs w:val="1"/>
          <w:color w:val="auto"/>
        </w:rPr>
        <w:t>Compensation and Benefits</w:t>
      </w:r>
      <w:r>
        <w:rPr>
          <w:rFonts w:ascii="Arial" w:cs="Arial" w:eastAsia="Arial" w:hAnsi="Arial"/>
          <w:sz w:val="17"/>
          <w:szCs w:val="17"/>
          <w:color w:val="auto"/>
        </w:rPr>
        <w:t>. We offer cash compensation and benefits designed to attract and retain the talent needed to achieve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objectives. Depending on location, we offer health, dental, and vision benefits; flexible spending plans and health savings accounts; retirement savings; disability, life, critical illness, accident, and travel insurance; well-being and employee assistance programs; vacation, personal time, and holidays; and a discount stock purchase plan. We also provide incentive programs for management employees based on performance. Finally, we offer part-time jobs, flexible hours, and remote and hybrid working conditions, where applicable.</w:t>
      </w:r>
    </w:p>
    <w:p>
      <w:pPr>
        <w:spacing w:after="0" w:line="33"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i w:val="1"/>
          <w:iCs w:val="1"/>
          <w:color w:val="auto"/>
        </w:rPr>
        <w:t>Training and Development Programs</w:t>
      </w:r>
      <w:r>
        <w:rPr>
          <w:rFonts w:ascii="Arial" w:cs="Arial" w:eastAsia="Arial" w:hAnsi="Arial"/>
          <w:sz w:val="18"/>
          <w:szCs w:val="18"/>
          <w:color w:val="auto"/>
        </w:rPr>
        <w:t>. Developing our talent continues to be part of our ongoing, long-term strategy, which is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talent, including technical/skilled positions, supervisory and management levels, and other future leaders. We believe that the first step toward achieving our long-term strategic business goals is to maintain a culture of employee development at all levels of the Company. In 2025, we engaged employees in monthly learning and development spotlights covering topics such as career and professional growth, change management, collaboration, feedback, gratitude, and psychological safety.</w:t>
      </w:r>
    </w:p>
    <w:p>
      <w:pPr>
        <w:spacing w:after="0" w:line="5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i w:val="1"/>
          <w:iCs w:val="1"/>
          <w:color w:val="auto"/>
        </w:rPr>
        <w:t xml:space="preserve">Employee Engagement and Satisfaction. </w:t>
      </w:r>
      <w:r>
        <w:rPr>
          <w:rFonts w:ascii="Arial" w:cs="Arial" w:eastAsia="Arial" w:hAnsi="Arial"/>
          <w:sz w:val="18"/>
          <w:szCs w:val="18"/>
          <w:color w:val="auto"/>
        </w:rPr>
        <w:t>We analyze employee satisfaction to better enhance engagement. We invite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a global engagement survey called LPVoice. At many of our locations, we also collect data on employee satisfaction, feedback, and turnover through surveys, employee focus groups, and turnover analysis. From this data, we develop plans designed to improve engagement and reduce turnover.</w:t>
      </w:r>
    </w:p>
    <w:p>
      <w:pPr>
        <w:spacing w:after="0" w:line="58" w:lineRule="exact"/>
        <w:rPr>
          <w:sz w:val="20"/>
          <w:szCs w:val="20"/>
          <w:color w:val="auto"/>
        </w:rPr>
      </w:pPr>
    </w:p>
    <w:p>
      <w:pPr>
        <w:ind w:right="860" w:firstLine="402"/>
        <w:spacing w:after="0" w:line="282" w:lineRule="auto"/>
        <w:rPr>
          <w:sz w:val="20"/>
          <w:szCs w:val="20"/>
          <w:color w:val="auto"/>
        </w:rPr>
      </w:pPr>
      <w:r>
        <w:rPr>
          <w:rFonts w:ascii="Arial" w:cs="Arial" w:eastAsia="Arial" w:hAnsi="Arial"/>
          <w:sz w:val="18"/>
          <w:szCs w:val="18"/>
          <w:color w:val="auto"/>
        </w:rPr>
        <w:t>We rely on a stable workforce to deliver our operating results. In 2025, our turnover rates in the United States were reasonably comparable to average voluntary turnover rates of the manufacturing industry in the United States.</w:t>
      </w:r>
    </w:p>
    <w:p>
      <w:pPr>
        <w:spacing w:after="0" w:line="23"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We also maintain a global Ethics Hotline through which employees may confidentially and anonymously report concerns regarding possible violations of ethics, law, or company policies. All reports received are promptly investigated, and appropriate action is taken based on the findings. The Ethics Hotline helps ensure that employees’ voices are heard and that concerns are addressed responsibly.</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Culture of Inclusion, Respect, and Equal Opportunity</w:t>
      </w:r>
    </w:p>
    <w:p>
      <w:pPr>
        <w:spacing w:after="0" w:line="103" w:lineRule="exact"/>
        <w:rPr>
          <w:sz w:val="20"/>
          <w:szCs w:val="20"/>
          <w:color w:val="auto"/>
        </w:rPr>
      </w:pPr>
    </w:p>
    <w:p>
      <w:pPr>
        <w:ind w:right="200" w:firstLine="402"/>
        <w:spacing w:after="0" w:line="265" w:lineRule="auto"/>
        <w:rPr>
          <w:sz w:val="20"/>
          <w:szCs w:val="20"/>
          <w:color w:val="auto"/>
        </w:rPr>
      </w:pPr>
      <w:r>
        <w:rPr>
          <w:rFonts w:ascii="Arial" w:cs="Arial" w:eastAsia="Arial" w:hAnsi="Arial"/>
          <w:sz w:val="18"/>
          <w:szCs w:val="18"/>
          <w:color w:val="auto"/>
        </w:rPr>
        <w:t>We continue to foster a culture of inclusion in which everyone is respected, valued, and has an equal opportunity to contribute, grow, thrive, and advance. We strive to cultivate inclusive team environments that empower all employees to realize their full potential. We believe that it is important to appreciate people's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differences and provide equal employment opportunities at all organizational levels, without regard to irrelevant factors such as sex, race, age, etc. Our commitment is to maintain our focus on building a workforce of qualified and talented individuals, who can best contribute to the Company's success. We are taking comprehensive actions to build on our foundational awareness, understanding, engagement, and skills to promote a culture of respect and equal opportunity.</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Workforce Health and Safety</w:t>
      </w:r>
    </w:p>
    <w:p>
      <w:pPr>
        <w:spacing w:after="0" w:line="103" w:lineRule="exact"/>
        <w:rPr>
          <w:sz w:val="20"/>
          <w:szCs w:val="20"/>
          <w:color w:val="auto"/>
        </w:rPr>
      </w:pPr>
    </w:p>
    <w:p>
      <w:pPr>
        <w:ind w:right="200" w:firstLine="402"/>
        <w:spacing w:after="0" w:line="257" w:lineRule="auto"/>
        <w:rPr>
          <w:sz w:val="20"/>
          <w:szCs w:val="20"/>
          <w:color w:val="auto"/>
        </w:rPr>
      </w:pPr>
      <w:r>
        <w:rPr>
          <w:rFonts w:ascii="Arial" w:cs="Arial" w:eastAsia="Arial" w:hAnsi="Arial"/>
          <w:sz w:val="18"/>
          <w:szCs w:val="18"/>
          <w:color w:val="auto"/>
        </w:rPr>
        <w:t>We are dedicated to the health and safety of our employees through prevention, education, and awareness with the objective of mitigating workplace injuries through accident investigation and process safety. Our dedicated staff of professionals supports health and safety management at our manufacturing facilities, including implementation of a comprehensive program called SafeGuard. SafeGuard develops relevant job hazard analyses, which are undertaken on many processes and used to develop comprehensive job procedures. This allows us to implement job-specific health and safety practices across our business.</w:t>
      </w:r>
    </w:p>
    <w:p>
      <w:pPr>
        <w:spacing w:after="0" w:line="58" w:lineRule="exact"/>
        <w:rPr>
          <w:sz w:val="20"/>
          <w:szCs w:val="20"/>
          <w:color w:val="auto"/>
        </w:rPr>
      </w:pPr>
    </w:p>
    <w:p>
      <w:pPr>
        <w:jc w:val="both"/>
        <w:ind w:right="60" w:firstLine="402"/>
        <w:spacing w:after="0" w:line="259" w:lineRule="auto"/>
        <w:rPr>
          <w:sz w:val="20"/>
          <w:szCs w:val="20"/>
          <w:color w:val="auto"/>
        </w:rPr>
      </w:pPr>
      <w:r>
        <w:rPr>
          <w:rFonts w:ascii="Arial" w:cs="Arial" w:eastAsia="Arial" w:hAnsi="Arial"/>
          <w:sz w:val="18"/>
          <w:szCs w:val="18"/>
          <w:color w:val="auto"/>
        </w:rPr>
        <w:t>Our manufacturing employees receive new hire and annual refresher safety training, weekly “toolbox” talks regarding safety and training, job-specific safety training based on the job hazards analyses developed from our SafeGuard program, and safety stand-down training based on real-time identified and emerging risks, when needed. In addition, the executive leadership team and executive management review safety metrics on a weekly basis.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Succession Development</w:t>
      </w:r>
    </w:p>
    <w:p>
      <w:pPr>
        <w:spacing w:after="0" w:line="103" w:lineRule="exact"/>
        <w:rPr>
          <w:sz w:val="20"/>
          <w:szCs w:val="20"/>
          <w:color w:val="auto"/>
        </w:rPr>
      </w:pPr>
    </w:p>
    <w:p>
      <w:pPr>
        <w:ind w:right="200" w:firstLine="402"/>
        <w:spacing w:after="0" w:line="257" w:lineRule="auto"/>
        <w:rPr>
          <w:sz w:val="20"/>
          <w:szCs w:val="20"/>
          <w:color w:val="auto"/>
        </w:rPr>
      </w:pPr>
      <w:r>
        <w:rPr>
          <w:rFonts w:ascii="Arial" w:cs="Arial" w:eastAsia="Arial" w:hAnsi="Arial"/>
          <w:sz w:val="18"/>
          <w:szCs w:val="18"/>
          <w:color w:val="auto"/>
        </w:rPr>
        <w:t>The Board and Human Resources and Compensation Committee review and oversee the Company’s executive succession planning. We are committed to having strong managers and leadership in critical roles across the Company. Our values and culture guide our talent initiatives, which are designed to create a pipeline of strong, high-performing leadership candidates to serve in progressively important roles throughout the Company. Our internal promotion rate over the last three years for executive officer positions was 100%. We are building on our success in these areas and continue to develop our succession processes to allow us to adapt and grow.</w:t>
      </w:r>
    </w:p>
    <w:p>
      <w:pPr>
        <w:spacing w:after="0" w:line="14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Trends in Market Demand and Competition</w:t>
      </w:r>
    </w:p>
    <w:p>
      <w:pPr>
        <w:spacing w:after="0" w:line="102" w:lineRule="exact"/>
        <w:rPr>
          <w:sz w:val="20"/>
          <w:szCs w:val="20"/>
          <w:color w:val="auto"/>
        </w:rPr>
      </w:pPr>
    </w:p>
    <w:p>
      <w:pPr>
        <w:ind w:right="80" w:firstLine="442"/>
        <w:spacing w:after="0" w:line="253" w:lineRule="auto"/>
        <w:rPr>
          <w:sz w:val="20"/>
          <w:szCs w:val="20"/>
          <w:color w:val="auto"/>
        </w:rPr>
      </w:pPr>
      <w:r>
        <w:rPr>
          <w:rFonts w:ascii="Arial" w:cs="Arial" w:eastAsia="Arial" w:hAnsi="Arial"/>
          <w:sz w:val="18"/>
          <w:szCs w:val="18"/>
          <w:i w:val="1"/>
          <w:iCs w:val="1"/>
          <w:color w:val="auto"/>
        </w:rPr>
        <w:t>Market Demand</w:t>
      </w:r>
      <w:r>
        <w:rPr>
          <w:rFonts w:ascii="Arial" w:cs="Arial" w:eastAsia="Arial" w:hAnsi="Arial"/>
          <w:sz w:val="18"/>
          <w:szCs w:val="18"/>
          <w:color w:val="auto"/>
        </w:rPr>
        <w:t>. Market demand (including product mix) is impacted by several economic factors, with housing turnover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confidence being the most significant. Other important factors include disposable income levels, employment levels, and interest rates. All of these factors influence consumer spending on durable goods, and therefore affect demand for our products and components. Some of these factors also influence spending on infrastructure, facilities, and equipment, which has impacted approximately 30% of our sales. The dynamic macroeconomic environment has pressured most of our end markets and negatively affected the demand for our products. As a result of these uncertainties, we expect 2026 overall demand to be flat or modestly lower than 2025 levels. For more information on our trends in market demand, see </w:t>
      </w:r>
      <w:r>
        <w:rPr>
          <w:rFonts w:ascii="Arial" w:cs="Arial" w:eastAsia="Arial" w:hAnsi="Arial"/>
          <w:sz w:val="18"/>
          <w:szCs w:val="18"/>
          <w:u w:val="single" w:color="auto"/>
          <w:color w:val="0000FF"/>
        </w:rPr>
        <w:t>Market Demand</w:t>
      </w:r>
      <w:r>
        <w:rPr>
          <w:rFonts w:ascii="Arial" w:cs="Arial" w:eastAsia="Arial" w:hAnsi="Arial"/>
          <w:sz w:val="18"/>
          <w:szCs w:val="18"/>
          <w:color w:val="auto"/>
        </w:rPr>
        <w:t xml:space="preserve"> in Item 7. Management’s Discussion and Analysis of Financial Condition and Results of Operations on page 40.</w:t>
      </w:r>
    </w:p>
    <w:p>
      <w:pPr>
        <w:spacing w:after="0" w:line="64" w:lineRule="exact"/>
        <w:rPr>
          <w:sz w:val="20"/>
          <w:szCs w:val="20"/>
          <w:color w:val="auto"/>
        </w:rPr>
      </w:pPr>
    </w:p>
    <w:p>
      <w:pPr>
        <w:ind w:right="40" w:firstLine="442"/>
        <w:spacing w:after="0" w:line="257"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Many companies offer products that compete with those we manufacture and sell. The number of competing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varies by product family, but many of the markets for our products are highly competitive. We tend to attract and retain customers through innovation, product quality, competitive pricing, and customer service. Many of our competitors try to win business primarily on price, but, depending upon the particular product, we experience competition based on quality and performance as well. In general, our competitors tend to be smaller, private companies.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Based on certain industry data, we believe we are a leading supplier, in terms of revenue, of the following:</w:t>
      </w:r>
    </w:p>
    <w:p>
      <w:pPr>
        <w:spacing w:after="0" w:line="48" w:lineRule="exact"/>
        <w:rPr>
          <w:sz w:val="20"/>
          <w:szCs w:val="20"/>
          <w:color w:val="auto"/>
        </w:rPr>
      </w:pPr>
    </w:p>
    <w:p>
      <w:pPr>
        <w:ind w:left="1040" w:hanging="9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Bedding components</w:t>
      </w:r>
    </w:p>
    <w:p>
      <w:pPr>
        <w:spacing w:after="0" w:line="28" w:lineRule="exact"/>
        <w:rPr>
          <w:rFonts w:ascii="Arial" w:cs="Arial" w:eastAsia="Arial" w:hAnsi="Arial"/>
          <w:sz w:val="18"/>
          <w:szCs w:val="18"/>
          <w:color w:val="auto"/>
        </w:rPr>
      </w:pPr>
    </w:p>
    <w:p>
      <w:pPr>
        <w:ind w:left="1040" w:hanging="9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Automotive seat comfort and convenience systems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Home and work furniture components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 components</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Flooring underlayment</w:t>
      </w:r>
    </w:p>
    <w:p>
      <w:pPr>
        <w:spacing w:after="0" w:line="20" w:lineRule="exact"/>
        <w:rPr>
          <w:rFonts w:ascii="Arial" w:cs="Arial" w:eastAsia="Arial" w:hAnsi="Arial"/>
          <w:sz w:val="18"/>
          <w:szCs w:val="18"/>
          <w:color w:val="auto"/>
        </w:rPr>
      </w:pPr>
    </w:p>
    <w:p>
      <w:pPr>
        <w:ind w:left="1040" w:hanging="9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Hydraulic cylinders for material handling and heavy construction applications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firstLine="402"/>
        <w:spacing w:after="0" w:line="271" w:lineRule="auto"/>
        <w:rPr>
          <w:sz w:val="20"/>
          <w:szCs w:val="20"/>
          <w:color w:val="auto"/>
        </w:rPr>
      </w:pPr>
      <w:r>
        <w:rPr>
          <w:rFonts w:ascii="Arial" w:cs="Arial" w:eastAsia="Arial" w:hAnsi="Arial"/>
          <w:sz w:val="17"/>
          <w:szCs w:val="17"/>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We have also reacted to foreign competition in certain cases by developing new proprietary products that help our customers reduce total costs and by shifting production offshore to take advantage of lower input costs.</w:t>
      </w:r>
    </w:p>
    <w:p>
      <w:pPr>
        <w:spacing w:after="0" w:line="37" w:lineRule="exact"/>
        <w:rPr>
          <w:sz w:val="20"/>
          <w:szCs w:val="20"/>
          <w:color w:val="auto"/>
        </w:rPr>
      </w:pPr>
    </w:p>
    <w:p>
      <w:pPr>
        <w:ind w:right="340" w:firstLine="402"/>
        <w:spacing w:after="0" w:line="282" w:lineRule="auto"/>
        <w:rPr>
          <w:sz w:val="20"/>
          <w:szCs w:val="20"/>
          <w:color w:val="auto"/>
        </w:rPr>
      </w:pPr>
      <w:r>
        <w:rPr>
          <w:rFonts w:ascii="Arial" w:cs="Arial" w:eastAsia="Arial" w:hAnsi="Arial"/>
          <w:sz w:val="18"/>
          <w:szCs w:val="18"/>
          <w:color w:val="auto"/>
        </w:rPr>
        <w:t xml:space="preserve">For information about antidumping duty orders regarding innerspring, steel wire rod, and mattress imports, please see </w:t>
      </w:r>
      <w:r>
        <w:rPr>
          <w:rFonts w:ascii="Arial" w:cs="Arial" w:eastAsia="Arial" w:hAnsi="Arial"/>
          <w:sz w:val="18"/>
          <w:szCs w:val="18"/>
          <w:u w:val="single" w:color="auto"/>
          <w:color w:val="0000FF"/>
        </w:rPr>
        <w:t>Competition</w:t>
      </w:r>
      <w:r>
        <w:rPr>
          <w:rFonts w:ascii="Arial" w:cs="Arial" w:eastAsia="Arial" w:hAnsi="Arial"/>
          <w:sz w:val="18"/>
          <w:szCs w:val="18"/>
          <w:color w:val="auto"/>
        </w:rPr>
        <w:t xml:space="preserve"> in Item 7. Management’s Discussion and Analysis of Financial Condition and Results of Operations on page 42.</w:t>
      </w:r>
    </w:p>
    <w:p>
      <w:pPr>
        <w:spacing w:after="0" w:line="1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Seasonality</w:t>
      </w:r>
    </w:p>
    <w:p>
      <w:pPr>
        <w:spacing w:after="0" w:line="102"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We generally experience some seasonality in our consolidated sales, earnings, and operating cash flows. Both sales and earnings are typically higher in the second and third quarters, primarily driven by our residential bedding and furniture businesses, as well as our geo components business. Also, historically, our operating cash flows have been stronger in the fourth quarter, primarily related to the timing of cash collections from customers and payments to vendors, and lower in the first quarter, when annual cash incentive payments are paid and as inventories typically increase. However, supply chain disruptions, inflation, and other macroeconomic factors have impacted seasonality in prior years.</w:t>
      </w:r>
    </w:p>
    <w:p>
      <w:pPr>
        <w:spacing w:after="0" w:line="15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Governmental Regulations</w:t>
      </w:r>
    </w:p>
    <w:p>
      <w:pPr>
        <w:spacing w:after="0" w:line="115" w:lineRule="exact"/>
        <w:rPr>
          <w:sz w:val="20"/>
          <w:szCs w:val="20"/>
          <w:color w:val="auto"/>
        </w:rPr>
      </w:pPr>
    </w:p>
    <w:p>
      <w:pPr>
        <w:ind w:right="180" w:firstLine="402"/>
        <w:spacing w:after="0" w:line="257" w:lineRule="auto"/>
        <w:rPr>
          <w:sz w:val="20"/>
          <w:szCs w:val="20"/>
          <w:color w:val="auto"/>
        </w:rPr>
      </w:pPr>
      <w:r>
        <w:rPr>
          <w:rFonts w:ascii="Arial" w:cs="Arial" w:eastAsia="Arial" w:hAnsi="Arial"/>
          <w:sz w:val="18"/>
          <w:szCs w:val="18"/>
          <w:color w:val="auto"/>
        </w:rPr>
        <w:t>Our operations are subject to various federal, state, local, and international laws and regulations, including environmental regulations. We have policies intended to ensure that our operations are conducted in compliance with applicable laws and regulations. While we cannot predict policy changes by various regulatory agencies or unexpected operational or other developments, management expects that compliance with these laws and regulations will not have a material adverse effect on our capital expenditures (including those capital expenditures for environmental control facilities), earnings, and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Internet Access to Information</w:t>
      </w:r>
    </w:p>
    <w:p>
      <w:pPr>
        <w:spacing w:after="0" w:line="115" w:lineRule="exact"/>
        <w:rPr>
          <w:sz w:val="20"/>
          <w:szCs w:val="20"/>
          <w:color w:val="auto"/>
        </w:rPr>
      </w:pPr>
    </w:p>
    <w:p>
      <w:pPr>
        <w:ind w:right="80" w:firstLine="402"/>
        <w:spacing w:after="0" w:line="254" w:lineRule="auto"/>
        <w:rPr>
          <w:sz w:val="20"/>
          <w:szCs w:val="20"/>
          <w:color w:val="auto"/>
        </w:rPr>
      </w:pPr>
      <w:r>
        <w:rPr>
          <w:rFonts w:ascii="Arial" w:cs="Arial" w:eastAsia="Arial" w:hAnsi="Arial"/>
          <w:sz w:val="18"/>
          <w:szCs w:val="18"/>
          <w:color w:val="auto"/>
        </w:rPr>
        <w:t>We routinely post information for investors under the Investor Relations section of our website (www.leggett.com). Our annual reports on Form 10-K, quarterly reports on Form 10-Q, current reports on Form 8-K, and all amendments to those reports are made available, free of charge, on our website as soon as reasonably practicable after electronically filed with, or furnished to, the SEC. In addition to these reports, the Company’s Financial Code of Ethics, Code of Business Conduct and Ethics, and Corporate Governance Guidelines, as well as charters for the Audit, Human Resources and Compensation, and Nominating, Governance and Sustainability Committees of our Board of Directors, can be found on our website under the Governance section. Information contained on our website does not constitute part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Industry and Market Data</w:t>
      </w:r>
    </w:p>
    <w:p>
      <w:pPr>
        <w:spacing w:after="0" w:line="115"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Unless indicated otherwise, the information concerning our industries contained in this Annual Report is based on our general knowledge of and expectations concerning the industries. Our market share is based on estimates using our internal data, information from various industry analyses, internal research, and adjustments and assumptions that we believe to be reasonable. We have not independently verified data from industry analyses and cannot guarantee their accuracy or completeness.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107"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Investing in our securities involves risk. Set forth below and elsewhere in this report are risk factors that could cause actual results to differ materially from the results contemplated by the forward-looking statements contained in this report. We may amend or supplement these risk factors from time to time by other reports we file with the SEC.</w:t>
      </w:r>
    </w:p>
    <w:p>
      <w:pPr>
        <w:spacing w:after="0" w:line="14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Strategic Risk Factor</w:t>
      </w:r>
    </w:p>
    <w:p>
      <w:pPr>
        <w:spacing w:after="0" w:line="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We cannot be certain that our strategic review of any potential transaction with Somnigroup or any other strategic alternative will result in any particular outcome. The strategic review process or its conclusion may adversely affect our business and/or our stock price.</w:t>
      </w:r>
    </w:p>
    <w:p>
      <w:pPr>
        <w:spacing w:after="0" w:line="40" w:lineRule="exact"/>
        <w:rPr>
          <w:sz w:val="20"/>
          <w:szCs w:val="20"/>
          <w:color w:val="auto"/>
        </w:rPr>
      </w:pPr>
    </w:p>
    <w:p>
      <w:pPr>
        <w:ind w:right="160" w:firstLine="402"/>
        <w:spacing w:after="0" w:line="255" w:lineRule="auto"/>
        <w:rPr>
          <w:sz w:val="20"/>
          <w:szCs w:val="20"/>
          <w:color w:val="auto"/>
        </w:rPr>
      </w:pPr>
      <w:r>
        <w:rPr>
          <w:rFonts w:ascii="Arial" w:cs="Arial" w:eastAsia="Arial" w:hAnsi="Arial"/>
          <w:sz w:val="18"/>
          <w:szCs w:val="18"/>
          <w:color w:val="auto"/>
        </w:rPr>
        <w:t>In December 2025, we announced the Company received an unsolicited proposal from Somnigroup International Inc. (Somnigroup) to acquire the Company in an all-stock transaction. In January 2026, our Board of Directors, in consultation with its financial and legal advisors, announced that it had determined that the Somnigroup offer undervalues the Company and publicly declined the Somnigroup proposal. Our Board also publicly announced that it has entered into a customary non-disclosure agreement and six month standstill with Somnigroup to facilitate customary due diligence and to determine if a transaction can be reached that delivers appropriate value and certainty to the Company and its shareholders.</w:t>
      </w:r>
    </w:p>
    <w:p>
      <w:pPr>
        <w:spacing w:after="0" w:line="48"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color w:val="auto"/>
        </w:rPr>
        <w:t>No assurance can be given as to the timeline or outcome of the process, including whether the process will result in a transaction, and, if there is a transaction, the price, form of consideration, or other terms and conditions of any such transaction. Entry into or completion of any potential transaction or other strategic alternative would be dependent on a number of factors that may be beyond our control, including, among other things, market conditions, regulatory approvals, and the availability of financing for a potential transaction, which may extend timelines, impose conditions, or prevent completion entirely. Our Board of Directors may also determine that no transaction is in the best interest of our shareholders.</w:t>
      </w:r>
    </w:p>
    <w:p>
      <w:pPr>
        <w:spacing w:after="0" w:line="61"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We have incurred, and may continue to incur, substantial expenses associated with identifying and evaluating a potential transaction with Somnigroup and other strategic alternatives. The process of evaluating a potential transaction with Somnigroup and other strategic alternatives has been, and may continue to be, time-consuming, distracting, and disruptive to our business. The process may delay key initiatives, capital projects, and other business activities due to the diversion of management's time and resources. Uncertainty surrounding the process could also affect customer and supplier relationships, including Somnigroup, potentially resulting in altered purchasing patterns or reconsideration of existing commercial arrangements. In addition, we may be subject to costly and time-consuming litigation related to the process. Moreover, the process may have a negative effect on the market price and volatility of our common stock, as well as our ability to recruit and retain qualified employees.</w:t>
      </w:r>
    </w:p>
    <w:p>
      <w:pPr>
        <w:spacing w:after="0" w:line="14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Operational Risk Factors</w:t>
      </w:r>
    </w:p>
    <w:p>
      <w:pPr>
        <w:spacing w:after="0" w:line="184"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b w:val="1"/>
          <w:bCs w:val="1"/>
          <w:i w:val="1"/>
          <w:iCs w:val="1"/>
          <w:color w:val="auto"/>
        </w:rPr>
        <w:t>Supply chain disruptions and shortages impacting our ability to timely receive competitively priced raw materials and parts used in our products, or impacting our ability to timely deliver our finished products to customers, may adversely affect our manufacturing processes, financial condition, results of operations, and cash flows.</w:t>
      </w:r>
    </w:p>
    <w:p>
      <w:pPr>
        <w:spacing w:after="0" w:line="39" w:lineRule="exact"/>
        <w:rPr>
          <w:sz w:val="20"/>
          <w:szCs w:val="20"/>
          <w:color w:val="auto"/>
        </w:rPr>
      </w:pPr>
    </w:p>
    <w:p>
      <w:pPr>
        <w:ind w:right="120" w:firstLine="402"/>
        <w:spacing w:after="0" w:line="271" w:lineRule="auto"/>
        <w:rPr>
          <w:sz w:val="20"/>
          <w:szCs w:val="20"/>
          <w:color w:val="auto"/>
        </w:rPr>
      </w:pPr>
      <w:r>
        <w:rPr>
          <w:rFonts w:ascii="Arial" w:cs="Arial" w:eastAsia="Arial" w:hAnsi="Arial"/>
          <w:sz w:val="17"/>
          <w:szCs w:val="17"/>
          <w:color w:val="auto"/>
        </w:rPr>
        <w:t>We have manufacturing facilities in 18 countries, primarily located in North America, Europe, and Asia. In our manufacturing processes, we source raw materials and parts from a global supply chain. We sell and deliver our finished products to customers all over the world. We rely on third parties to supply certain raw materials, components, and packaging and deliver our finished products. Any interruption or failure by our suppliers to meet their obligations on schedule could adversely affect our business and financial results. In past years, we have experienced supply chain disruptions related to foam chemical shortages, semiconductor shortages, labor availability, and freight challenges, as well as higher costs associated with each of these issues. We have also experienced delays in delivery of materials, parts, and finished goods because of inclement weather, trucking constraints, and delivery port disruptions. At times, this has resulted in reduced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volume and higher costs in many of our businesses, primarily those within our Specialized Products and Bedding Products segments.</w:t>
      </w:r>
    </w:p>
    <w:p>
      <w:pPr>
        <w:spacing w:after="0" w:line="88" w:lineRule="exact"/>
        <w:rPr>
          <w:sz w:val="20"/>
          <w:szCs w:val="20"/>
          <w:color w:val="auto"/>
        </w:rPr>
      </w:pPr>
    </w:p>
    <w:p>
      <w:pPr>
        <w:ind w:right="160" w:firstLine="402"/>
        <w:spacing w:after="0" w:line="259" w:lineRule="auto"/>
        <w:rPr>
          <w:sz w:val="20"/>
          <w:szCs w:val="20"/>
          <w:color w:val="auto"/>
        </w:rPr>
      </w:pPr>
      <w:r>
        <w:rPr>
          <w:rFonts w:ascii="Arial" w:cs="Arial" w:eastAsia="Arial" w:hAnsi="Arial"/>
          <w:sz w:val="18"/>
          <w:szCs w:val="18"/>
          <w:color w:val="auto"/>
        </w:rPr>
        <w:t>We also bear the risk of delays or non-delivery from our suppliers or reduced demand from our customers because of natural disasters, fires, explosions, terrorism, pandemics, labor strikes, foreign government action including asset seizure, changed licensing, or land use requirements which restrict operations, or other reasons beyond our control or the control of our suppliers, some of which have impaired and could continue to impair our ability to timely manufacture and deliver our products.</w:t>
      </w:r>
    </w:p>
    <w:p>
      <w:pPr>
        <w:spacing w:after="0" w:line="5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Labor strikes or shutdowns at delivery ports, loss of or damage to raw materials, parts, or finished products while they are in transit or storage, losses due to tampering, third-party vendor issues with quality, failure by our suppliers to comply with applicable laws and regulations, tariffs or other trade restrictions, or similar problems, have and could continue to restrict or delay the supply of raw materials, parts, or finished products, resulting in harm to our business.</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In addition, our business has been and may continue to be adversely impacted by disruptions in our customers’ production schedules resulting from supply chain disruptions. In 2025, a key supplier of aluminum components to multiple automotive OEM manufacturers experienced operational challenges that negatively impacted the automotive OEM manufacturers' production schedules. As a result, our Automotive Group's U.S. sales were adversely affected. If such disruptions continue or expand to other suppliers or customers, our business, financial condition, and results of operations could continue to be adversely impacted.</w:t>
      </w:r>
    </w:p>
    <w:p>
      <w:pPr>
        <w:spacing w:after="0" w:line="45" w:lineRule="exact"/>
        <w:rPr>
          <w:sz w:val="20"/>
          <w:szCs w:val="20"/>
          <w:color w:val="auto"/>
        </w:rPr>
      </w:pPr>
    </w:p>
    <w:p>
      <w:pPr>
        <w:ind w:right="620" w:firstLine="402"/>
        <w:spacing w:after="0" w:line="282" w:lineRule="auto"/>
        <w:rPr>
          <w:sz w:val="20"/>
          <w:szCs w:val="20"/>
          <w:color w:val="auto"/>
        </w:rPr>
      </w:pPr>
      <w:r>
        <w:rPr>
          <w:rFonts w:ascii="Arial" w:cs="Arial" w:eastAsia="Arial" w:hAnsi="Arial"/>
          <w:sz w:val="18"/>
          <w:szCs w:val="18"/>
          <w:color w:val="auto"/>
        </w:rPr>
        <w:t>The aforementioned supply chain risks can materially adversely affect our manufacturing processes, financial condition, results of operations, and cash flows.</w:t>
      </w:r>
    </w:p>
    <w:p>
      <w:pPr>
        <w:spacing w:after="0" w:line="105" w:lineRule="exact"/>
        <w:rPr>
          <w:sz w:val="20"/>
          <w:szCs w:val="20"/>
          <w:color w:val="auto"/>
        </w:rPr>
      </w:pPr>
    </w:p>
    <w:p>
      <w:pPr>
        <w:ind w:right="420"/>
        <w:spacing w:after="0" w:line="291" w:lineRule="auto"/>
        <w:rPr>
          <w:sz w:val="20"/>
          <w:szCs w:val="20"/>
          <w:color w:val="auto"/>
        </w:rPr>
      </w:pPr>
      <w:r>
        <w:rPr>
          <w:rFonts w:ascii="Arial" w:cs="Arial" w:eastAsia="Arial" w:hAnsi="Arial"/>
          <w:sz w:val="18"/>
          <w:szCs w:val="18"/>
          <w:b w:val="1"/>
          <w:bCs w:val="1"/>
          <w:i w:val="1"/>
          <w:iCs w:val="1"/>
          <w:color w:val="auto"/>
        </w:rPr>
        <w:t>Our 2024 Restructuring Plan may result in higher than expected sales attrition, lower than expected earnings improvement, and lower than expected proceeds from the sale of real estate.</w:t>
      </w:r>
    </w:p>
    <w:p>
      <w:pPr>
        <w:spacing w:after="0" w:line="19"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In 2024, we committed to a restructuring plan (the 2024 Restructuring Plan or 2024 Plan). The 2024 Plan was primarily associated with our Bedding Products segment and included, to a lesser extent, our Furniture, Flooring &amp; Textile Products segment, our Specialized Products segment, and general and administrative cost structure initiatives. Over the course of the restructuring timeline, we have consolidated 17 production and distribution facilities in the Bedding Products segment and four production facilities in the Furniture, Flooring &amp; Textile Products segment. The 2024 Plan costs were substantially complete at the end of 2025.</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Proceeds from the Sale of Real Estate:</w:t>
      </w:r>
    </w:p>
    <w:p>
      <w:pPr>
        <w:spacing w:after="0" w:line="88" w:lineRule="exact"/>
        <w:rPr>
          <w:sz w:val="20"/>
          <w:szCs w:val="20"/>
          <w:color w:val="auto"/>
        </w:rPr>
      </w:pPr>
    </w:p>
    <w:p>
      <w:pPr>
        <w:ind w:right="40" w:firstLine="402"/>
        <w:spacing w:after="0" w:line="312" w:lineRule="auto"/>
        <w:rPr>
          <w:sz w:val="20"/>
          <w:szCs w:val="20"/>
          <w:color w:val="auto"/>
        </w:rPr>
      </w:pPr>
      <w:r>
        <w:rPr>
          <w:rFonts w:ascii="Arial" w:cs="Arial" w:eastAsia="Arial" w:hAnsi="Arial"/>
          <w:sz w:val="17"/>
          <w:szCs w:val="17"/>
          <w:color w:val="auto"/>
        </w:rPr>
        <w:t>We expect pretax net cash from the sale of real estate associated with the 2024 Plan of $70 to $80 million, of which $48 million has been realized in 2024 and 2025. The remaining real estate proceeds are expected to be received during 2026 due to timing of listing of properties.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EBIT Benefit:</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realized annualized EBIT benefit of $63 million in 2025 and expect approximately $5 million of incremental EBIT benefit in 2026.</w:t>
      </w:r>
    </w:p>
    <w:p>
      <w:pPr>
        <w:spacing w:after="0" w:line="88"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Because of certain risks and uncertainties, EBIT benefit and the proceeds from the sale of real estate associated with the 2024 Plan may change. We may not be able to dispose of the remaining real estate pursuant to the 2024 Plan or obtain the expected proceeds in a timely manner. Any failure to achieve the intended outcomes could materially adversely affect our business, financial condition, results of operations, cash flows, and liquidity.</w:t>
      </w:r>
    </w:p>
    <w:p>
      <w:pPr>
        <w:spacing w:after="0" w:line="58"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Although the 2024 Plan is substantially complete, we continue to identify opportunities to improve our cost structure and profitability across our businesses. The execution of any of these opportunities may result in additional material restructuring costs, restructuring-related costs, or impairments.</w:t>
      </w:r>
    </w:p>
    <w:p>
      <w:pPr>
        <w:spacing w:after="0" w:line="121"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b w:val="1"/>
          <w:bCs w:val="1"/>
          <w:i w:val="1"/>
          <w:iCs w:val="1"/>
          <w:color w:val="auto"/>
        </w:rPr>
        <w:t>Business disruptions to our steel rod mill or wire drawing mills, and/or an inability to purchase an adequate or timely supply of quality steel rod from alternative sources, could have a material negative impact on our Bedding Products segment and the Company's results of operations.</w:t>
      </w:r>
    </w:p>
    <w:p>
      <w:pPr>
        <w:spacing w:after="0" w:line="39" w:lineRule="exact"/>
        <w:rPr>
          <w:sz w:val="20"/>
          <w:szCs w:val="20"/>
          <w:color w:val="auto"/>
        </w:rPr>
      </w:pPr>
    </w:p>
    <w:p>
      <w:pPr>
        <w:ind w:right="180" w:firstLine="402"/>
        <w:spacing w:after="0" w:line="265" w:lineRule="auto"/>
        <w:rPr>
          <w:sz w:val="20"/>
          <w:szCs w:val="20"/>
          <w:color w:val="auto"/>
        </w:rPr>
      </w:pPr>
      <w:r>
        <w:rPr>
          <w:rFonts w:ascii="Arial" w:cs="Arial" w:eastAsia="Arial" w:hAnsi="Arial"/>
          <w:sz w:val="18"/>
          <w:szCs w:val="18"/>
          <w:color w:val="auto"/>
        </w:rPr>
        <w:t>We purchase steel scrap from third-party suppliers and convert it into steel rod in our mill in Sterling, Illinois. Our steel rod mill has historically had annual output of approximately 500,000 tons, approximately half of which has been used internally by our wire drawing mills. Our two wire drawing mills, located in Carthage,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Missouri and Kouts, Indiana, convert steel rod into drawn steel wire, which is used in the production of mattress innersprings and other products.</w:t>
      </w:r>
    </w:p>
    <w:p>
      <w:pPr>
        <w:spacing w:after="0" w:line="23" w:lineRule="exact"/>
        <w:rPr>
          <w:sz w:val="20"/>
          <w:szCs w:val="20"/>
          <w:color w:val="auto"/>
        </w:rPr>
      </w:pPr>
    </w:p>
    <w:p>
      <w:pPr>
        <w:ind w:right="280" w:firstLine="402"/>
        <w:spacing w:after="0" w:line="259" w:lineRule="auto"/>
        <w:rPr>
          <w:sz w:val="20"/>
          <w:szCs w:val="20"/>
          <w:color w:val="auto"/>
        </w:rPr>
      </w:pPr>
      <w:r>
        <w:rPr>
          <w:rFonts w:ascii="Arial" w:cs="Arial" w:eastAsia="Arial" w:hAnsi="Arial"/>
          <w:sz w:val="18"/>
          <w:szCs w:val="18"/>
          <w:color w:val="auto"/>
        </w:rPr>
        <w:t>A disruption to the operation of, or supply of steel scrap to, our steel rod mill could require us to purchase steel rod from alternative supply sources at higher costs, subject to market availability. Ongoing trade action by the U.S. government, along with the existence of antidumping and countervailing duty orders against multiple countries, could result in reduced market availability and/or higher cost of steel rod.</w:t>
      </w:r>
    </w:p>
    <w:p>
      <w:pPr>
        <w:spacing w:after="0" w:line="58"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Any disruption to our steel rod production, any reduction in adequate or timely supply of quality steel rod from alternative market sources, or any inability to obtain such alternative supply at competitive prices, could materially negatively impact our Bedding Products segment and the Company’s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physical effects of climate change could adversely affect our business, results of operations, and financial condition.</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Direct Physical Effects</w:t>
      </w:r>
    </w:p>
    <w:p>
      <w:pPr>
        <w:spacing w:after="0" w:line="8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The acute and chronic physical effects of severe weather-related events, natural disasters, and/or significant changes in climate patterns, could have an increasingly adverse impact on our business and customers. At December 31, 2025, we had 104 manufacturing facilities in 18 countries, primarily located in North America, Europe, and Asia. We serve thousands of customers worldwide. In 2025, our customers were located in approximately 100 countries.</w:t>
      </w:r>
    </w:p>
    <w:p>
      <w:pPr>
        <w:spacing w:after="0" w:line="58"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Our steel rod mill in Sterling, Illinois, is energy intensive and depends on electricity and other utilities at commercially reasonable rates. Periods of extreme weather, including prolonged hot or cold weather events, have increased and may continue to increase overall electricity and natural gas demand, place stress on regional power grids, and contribute to higher or more volatile utility rates, impacting our utility costs. Such conditions may also increase the risk of service interruptions.</w:t>
      </w:r>
    </w:p>
    <w:p>
      <w:pPr>
        <w:spacing w:after="0" w:line="58" w:lineRule="exact"/>
        <w:rPr>
          <w:sz w:val="20"/>
          <w:szCs w:val="20"/>
          <w:color w:val="auto"/>
        </w:rPr>
      </w:pPr>
    </w:p>
    <w:p>
      <w:pPr>
        <w:jc w:val="both"/>
        <w:ind w:right="260" w:firstLine="402"/>
        <w:spacing w:after="0" w:line="265" w:lineRule="auto"/>
        <w:rPr>
          <w:sz w:val="20"/>
          <w:szCs w:val="20"/>
          <w:color w:val="auto"/>
        </w:rPr>
      </w:pPr>
      <w:r>
        <w:rPr>
          <w:rFonts w:ascii="Arial" w:cs="Arial" w:eastAsia="Arial" w:hAnsi="Arial"/>
          <w:sz w:val="18"/>
          <w:szCs w:val="18"/>
          <w:color w:val="auto"/>
        </w:rPr>
        <w:t>The increased frequency and severity of weather-related events could damage our physical assets, local infrastructure, transportation systems, water delivery systems, and our customers' or suppliers' operations, and disrupt our manufacturing operations (including our steel rod mill and wire drawing mills), all of which could harm our business, results of operations, and financial condition.</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Indirect Physical Effects</w:t>
      </w:r>
    </w:p>
    <w:p>
      <w:pPr>
        <w:spacing w:after="0" w:line="101"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The physical effects of climate change could continue to adversely impact our supply chain. In the past, we experienced (due, in part, to severe weather-related impacts) supply shortages in chemicals, which restricted foam supply and constrained overall mattress production in the bedding industry. This reduced our production levels and increased our cost of chemicals and foam. Severe weather impacts could also reduce the supply of other products in our supply chain, resulting in higher prices for our products and the resources needed to produce them. If we are unable to secure an adequate and timely supply of raw materials and products in our supply chain, or the cost of these raw materials or products materially increases, it could negatively impact our business, results of operations, and financial condition.</w:t>
      </w:r>
    </w:p>
    <w:p>
      <w:pPr>
        <w:spacing w:after="0" w:line="61"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color w:val="auto"/>
        </w:rPr>
        <w:t>In recent years, drought conditions lowered the water levels of the Mississippi River and Panama Canal, reducing traffic through these waterways and impacting some of our shipments. Although these issues did not materially impact our results of operations, additional logistical disruptions could result in additional costs and delays in our ability to deliver products timely to certain customers.</w:t>
      </w:r>
    </w:p>
    <w:p>
      <w:pPr>
        <w:spacing w:after="0" w:line="38"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In addition, although the cost has not been material to our business, results of operations, and financial condition, severe weather-related incidents have resulted and may, in the future, result in increased costs of our property insurance.</w:t>
      </w:r>
    </w:p>
    <w:p>
      <w:pPr>
        <w:spacing w:after="0" w:line="105" w:lineRule="exact"/>
        <w:rPr>
          <w:sz w:val="20"/>
          <w:szCs w:val="20"/>
          <w:color w:val="auto"/>
        </w:rPr>
      </w:pPr>
    </w:p>
    <w:p>
      <w:pPr>
        <w:ind w:right="620"/>
        <w:spacing w:after="0" w:line="291" w:lineRule="auto"/>
        <w:rPr>
          <w:sz w:val="20"/>
          <w:szCs w:val="20"/>
          <w:color w:val="auto"/>
        </w:rPr>
      </w:pPr>
      <w:r>
        <w:rPr>
          <w:rFonts w:ascii="Arial" w:cs="Arial" w:eastAsia="Arial" w:hAnsi="Arial"/>
          <w:sz w:val="18"/>
          <w:szCs w:val="18"/>
          <w:b w:val="1"/>
          <w:bCs w:val="1"/>
          <w:i w:val="1"/>
          <w:iCs w:val="1"/>
          <w:color w:val="auto"/>
        </w:rPr>
        <w:t>The market transition risks related to climate change could adversely affect our business, results of operations, and financial condition.</w:t>
      </w:r>
    </w:p>
    <w:p>
      <w:pPr>
        <w:spacing w:after="0" w:line="19" w:lineRule="exact"/>
        <w:rPr>
          <w:sz w:val="20"/>
          <w:szCs w:val="20"/>
          <w:color w:val="auto"/>
        </w:rPr>
      </w:pPr>
    </w:p>
    <w:p>
      <w:pPr>
        <w:ind w:right="320" w:firstLine="402"/>
        <w:spacing w:after="0" w:line="282" w:lineRule="auto"/>
        <w:rPr>
          <w:sz w:val="20"/>
          <w:szCs w:val="20"/>
          <w:color w:val="auto"/>
        </w:rPr>
      </w:pPr>
      <w:r>
        <w:rPr>
          <w:rFonts w:ascii="Arial" w:cs="Arial" w:eastAsia="Arial" w:hAnsi="Arial"/>
          <w:sz w:val="18"/>
          <w:szCs w:val="18"/>
          <w:color w:val="auto"/>
        </w:rPr>
        <w:t>We are engaged in the manufacture of various automotive components, including lumbar supports and massage systems for seating, seat suspension systems, motors and actuators, and cables.</w:t>
      </w:r>
    </w:p>
    <w:p>
      <w:pPr>
        <w:spacing w:after="0" w:line="36" w:lineRule="exact"/>
        <w:rPr>
          <w:sz w:val="20"/>
          <w:szCs w:val="20"/>
          <w:color w:val="auto"/>
        </w:rPr>
      </w:pPr>
    </w:p>
    <w:p>
      <w:pPr>
        <w:ind w:right="680" w:firstLine="402"/>
        <w:spacing w:after="0" w:line="259" w:lineRule="auto"/>
        <w:rPr>
          <w:sz w:val="20"/>
          <w:szCs w:val="20"/>
          <w:color w:val="auto"/>
        </w:rPr>
      </w:pPr>
      <w:r>
        <w:rPr>
          <w:rFonts w:ascii="Arial" w:cs="Arial" w:eastAsia="Arial" w:hAnsi="Arial"/>
          <w:sz w:val="18"/>
          <w:szCs w:val="18"/>
          <w:color w:val="auto"/>
        </w:rPr>
        <w:t>For several decades, automotive manufacturers have sought lightweight components designed to increase fuel efficiency in the automobiles they manufacture. Replacing traditional steel components with lightweight alternatives can directly reduce the weight of a vehicle's body and chassis and therefore reduce a vehicle's fuel consumption. This increased fuel efficiency also indirectly reduces greenhouse gas (GHG) emissions. If we are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20"/>
        <w:spacing w:after="0" w:line="265" w:lineRule="auto"/>
        <w:rPr>
          <w:sz w:val="20"/>
          <w:szCs w:val="20"/>
          <w:color w:val="auto"/>
        </w:rPr>
      </w:pPr>
      <w:r>
        <w:rPr>
          <w:rFonts w:ascii="Arial" w:cs="Arial" w:eastAsia="Arial" w:hAnsi="Arial"/>
          <w:sz w:val="18"/>
          <w:szCs w:val="18"/>
          <w:color w:val="auto"/>
        </w:rPr>
        <w:t>unable to respond effectively to these evolving market dynamics, continue to react to changes in technology, successfully develop new and innovative products, or successfully respond to evolving business trends, including continuing to produce comparatively lightweight and EV-compatible components, our share in these markets could be materially negatively impacted.</w:t>
      </w:r>
    </w:p>
    <w:p>
      <w:pPr>
        <w:spacing w:after="0" w:line="38"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Driven in part by climate change legislation, the global automotive industry has experienced a rapid acceleration in the transition from internal combustion engine vehicles to electric vehicles (EVs). China has emerged as a global leader in EV adoption, with Chinese EV manufacturers gaining market share at the expense of our multinational automotive OEM customer base. This shift has intensified competitive pressures across traditional automotive supply chains and has begun to impact our market share, particularly in regions where Chinese EV manufacturers have seen success in competing on price. If our multinational automotive OEM customers are unable to compete effectively with the Chinese EV manufacturers, their market share could continue to be further reduced, which could continue to negatively impact the demand for our Automotive products and adversely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political, legal, and business factors could adversely impact our business.</w:t>
      </w:r>
    </w:p>
    <w:p>
      <w:pPr>
        <w:spacing w:after="0" w:line="99"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We operate in global markets. Approximately 41% of our sales in 2025 were generated outside the United States. In addition, as of December 31, 2025, 43 manufacturing facilities and approximately one-third of our tangible long-lived assets were located outside the United States. Our reliance on sales and manufacturing facilities outside the United States exposes us to a number of risks, including price and currency controls; sanctions, export controls or trade restrictions, including import and export tariffs; extraterritorial effects of U.S. laws; expropriation of assets; war; civil uprisings; political instability; nationalization of manufacturing facilities or private enterprises; hyperinflationary conditions; the necessity of governmental approvals for products and operations; currency conversion; cash repatriation; and laws and regulations that may be arbitrarily applied.</w:t>
      </w:r>
    </w:p>
    <w:p>
      <w:pPr>
        <w:spacing w:after="0" w:line="62" w:lineRule="exact"/>
        <w:rPr>
          <w:sz w:val="20"/>
          <w:szCs w:val="20"/>
          <w:color w:val="auto"/>
        </w:rPr>
      </w:pPr>
    </w:p>
    <w:p>
      <w:pPr>
        <w:ind w:right="80" w:firstLine="402"/>
        <w:spacing w:after="0" w:line="255" w:lineRule="auto"/>
        <w:rPr>
          <w:sz w:val="20"/>
          <w:szCs w:val="20"/>
          <w:color w:val="auto"/>
        </w:rPr>
      </w:pPr>
      <w:r>
        <w:rPr>
          <w:rFonts w:ascii="Arial" w:cs="Arial" w:eastAsia="Arial" w:hAnsi="Arial"/>
          <w:sz w:val="18"/>
          <w:szCs w:val="18"/>
          <w:color w:val="auto"/>
        </w:rPr>
        <w:t>We have 12 manufacturing facilities in China as of December 31, 2025 that contribute significantly to our earnings (through both trade sales and as intercompany suppliers to our operating locations outside of China), primarily within our Specialized Products segment. We also have third-party suppliers who are located in China. China presents unique risks due to ongoing tensions in U.S.-China relations, China’s distinct regulatory landscape, tariffs and counter-tariffs specific to China, China’s level of integration with key components in our global supply chain, and the limited availability of various components and materials, including certain rare earth elements, that are largely unique to China, among other risks.</w:t>
      </w:r>
    </w:p>
    <w:p>
      <w:pPr>
        <w:spacing w:after="0" w:line="48" w:lineRule="exact"/>
        <w:rPr>
          <w:sz w:val="20"/>
          <w:szCs w:val="20"/>
          <w:color w:val="auto"/>
        </w:rPr>
      </w:pPr>
    </w:p>
    <w:p>
      <w:pPr>
        <w:ind w:right="280" w:firstLine="402"/>
        <w:spacing w:after="0" w:line="259" w:lineRule="auto"/>
        <w:rPr>
          <w:sz w:val="20"/>
          <w:szCs w:val="20"/>
          <w:color w:val="auto"/>
        </w:rPr>
      </w:pPr>
      <w:r>
        <w:rPr>
          <w:rFonts w:ascii="Arial" w:cs="Arial" w:eastAsia="Arial" w:hAnsi="Arial"/>
          <w:sz w:val="18"/>
          <w:szCs w:val="18"/>
          <w:color w:val="auto"/>
        </w:rPr>
        <w:t>These factors have resulted in, and could continue to result in, among other things, supply chain or production disruptions, lower consumer demand, compressed profit margins, unfavorable foreign currency exchange rates, and laws, regulations (including tax laws and regulations), restrictions, and tariffs, any of which could materially negatively impact our business, results of operations, financial condition, and cash flows.</w:t>
      </w:r>
    </w:p>
    <w:p>
      <w:pPr>
        <w:spacing w:after="0" w:line="14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Geopolitical Risk Factors</w:t>
      </w:r>
    </w:p>
    <w:p>
      <w:pPr>
        <w:spacing w:after="0" w:line="184"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i w:val="1"/>
          <w:iCs w:val="1"/>
          <w:color w:val="auto"/>
        </w:rPr>
        <w:t>Geopolitical conflicts or export restrictions have negatively impacted, and could continue to negatively impact, the availability of semiconductors and/or other automotive products, and restrictions on semi-conductor manufacturing equipment could contribute to reduced semiconductor supply, impacting our operations globally.</w:t>
      </w:r>
    </w:p>
    <w:p>
      <w:pPr>
        <w:spacing w:after="0" w:line="26" w:lineRule="exact"/>
        <w:rPr>
          <w:sz w:val="20"/>
          <w:szCs w:val="20"/>
          <w:color w:val="auto"/>
        </w:rPr>
      </w:pPr>
    </w:p>
    <w:p>
      <w:pPr>
        <w:ind w:right="20" w:firstLine="402"/>
        <w:spacing w:after="0" w:line="252" w:lineRule="auto"/>
        <w:rPr>
          <w:sz w:val="20"/>
          <w:szCs w:val="20"/>
          <w:color w:val="auto"/>
        </w:rPr>
      </w:pPr>
      <w:r>
        <w:rPr>
          <w:rFonts w:ascii="Arial" w:cs="Arial" w:eastAsia="Arial" w:hAnsi="Arial"/>
          <w:sz w:val="18"/>
          <w:szCs w:val="18"/>
          <w:color w:val="auto"/>
        </w:rPr>
        <w:t>Our OEM and Tier 1 manufacturer customers use semiconductors, or components containing semiconductors, and other automotive components, such as electric and hybrid vehicle motors, batteries, etc., in their manufacture of automotive components and/or vehicles. This supply is currently challenged and could continue to be challenged. According to certain market reports, Taiwan and, to a lesser extent, China are leading manufacturers of the world’s semiconductor supply, and Europe is a key manufacturer of semiconductor-manufacturing equipment and sub-systems and related components. Conflict between China and Taiwan has led, and could continue to lead, to trade sanctions, export controls, technology disputes, or supply chain disruptions, which has affected and could continue to affect the semiconductor industry. In addition, China has implemented export restrictions on several critical minerals, including rare earth elements like dysprosium, terbium, and samarium, as well as tungsten, tellurium, bismuth, indium, and molybdenum. These minerals are crucial for semiconductors, electric and hybrid vehicle motors, batteries, and other automotive components. Geopolitical conflicts, export restrictions, and tariffs have led and could continue to</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lead to decreased availability of these components, negatively impacting our OEM and Tier 1 manufacturer customers' supply chains and production schedules.</w:t>
      </w:r>
    </w:p>
    <w:p>
      <w:pPr>
        <w:spacing w:after="0" w:line="23"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In September 2025, a Chinese-owned chip maker, who is a key supplier of basic automotive semiconductors, halted shipments following the Dutch government's seizure of the company's Netherlands operations. This supply chain disruption, coupled with Chinese export restrictions targeting the company's Chinese operations, has led, and could continue to lead, to reduced availability of these components. Potential reinstatement or expansion of export controls, as well as the risk of further governmental intervention, create the risk of further supply chain disruptions.</w:t>
      </w:r>
    </w:p>
    <w:p>
      <w:pPr>
        <w:spacing w:after="0" w:line="58" w:lineRule="exact"/>
        <w:rPr>
          <w:sz w:val="20"/>
          <w:szCs w:val="20"/>
          <w:color w:val="auto"/>
        </w:rPr>
      </w:pPr>
    </w:p>
    <w:p>
      <w:pPr>
        <w:ind w:right="120" w:firstLine="402"/>
        <w:spacing w:after="0" w:line="257" w:lineRule="auto"/>
        <w:rPr>
          <w:sz w:val="20"/>
          <w:szCs w:val="20"/>
          <w:color w:val="auto"/>
        </w:rPr>
      </w:pPr>
      <w:r>
        <w:rPr>
          <w:rFonts w:ascii="Arial" w:cs="Arial" w:eastAsia="Arial" w:hAnsi="Arial"/>
          <w:sz w:val="18"/>
          <w:szCs w:val="18"/>
          <w:color w:val="auto"/>
        </w:rPr>
        <w:t>If our OEM and Tier 1 manufacturer customers are unable to obtain appropriate amounts of these components for vehicle production, then demand for our Automotive products could be reduced, which could adversely harm our business, financial condition, and results of operations. In addition, any outbreak of hostilities or conflict between China and Taiwan, or conflict arising in U.S.-EU relations, including retaliatory responses connected to actions related to Greenland, could harm our operations globally and the operations of our customers and suppliers.</w:t>
      </w:r>
    </w:p>
    <w:p>
      <w:pPr>
        <w:spacing w:after="0" w:line="1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Financial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have been and may continue to be, and access to liquidity could be, impacted by lower credit ratings.</w:t>
      </w:r>
    </w:p>
    <w:p>
      <w:pPr>
        <w:spacing w:after="0" w:line="99"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Independent rating agencies evaluate our credit profile and have assigned ratings for our debt, which are reevaluated from time to time. In the past, rating downgrades have resulted in, and could continue to result in, higher interest rates. Lower credit ratings could adversely affect our sources of borrowing and our financial arrangements, including access to the capital markets, commercial paper market, our lending agreements, and supply chain financing arrangements. If our ability to access and raise debt in the capital markets or meet our short-term borrowing needs in the commercial paper market is limited, we may be required to borrow under our credit facility to fund our liquidity needs. Lower credit ratings have resulted in, and could continue to result in, increased borrowing costs.</w:t>
      </w:r>
    </w:p>
    <w:p>
      <w:pPr>
        <w:spacing w:after="0" w:line="13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b w:val="1"/>
          <w:bCs w:val="1"/>
          <w:i w:val="1"/>
          <w:iCs w:val="1"/>
          <w:color w:val="auto"/>
        </w:rPr>
        <w:t>Our customers' inability to pay us and take delivery of previously ordered inventory in accordance with their terms could negatively impact our earnings, liquidity, cash flow, and financial condition.</w:t>
      </w:r>
    </w:p>
    <w:p>
      <w:pPr>
        <w:spacing w:after="0" w:line="19"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Some of our customers have suffered financial difficulty. As a result, some of our customers have been unable to pay their debts to us, have exhibited slow payments, have rejected their contractual obligations to us under bankruptcy laws or otherwise, or we have had to negotiate significant discounts and/or extend financing terms with these parties. In addition, we have had to write down inventory related to these customers. These issues may continue.</w:t>
      </w:r>
    </w:p>
    <w:p>
      <w:pPr>
        <w:spacing w:after="0" w:line="45"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We monitor our receivables and inventory closely and make reserve decisions based upon individual customer risk reviews, aging of customer accounts, historical loss experience, and general macroeconomic and industry trends that could impact the expected collectability of all customers or pools of customers with similar risks.</w:t>
      </w:r>
    </w:p>
    <w:p>
      <w:pPr>
        <w:spacing w:after="0" w:line="52"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Our bad debt expense has fluctuated over the last three years: $7 million and $6 million expense in 2025 and 2024, respectively, and $7 million benefit in 2023. Inventory write-downs were $13 million, $36 million, and $9 million in 2025, 2024, and 2023, respectively. Reserves increased in 2024 primarily due to 2024 Restructuring Plan impacts and write-downs of selected products primarily in our Bedding Products segment. If our customers are unable to pay us and take delivery of previously ordered inventory on a timely basis, larger reserves may be required and may result in a negative impact on our earnings, liquidity, cash flow, and financial condition.</w:t>
      </w:r>
    </w:p>
    <w:p>
      <w:pPr>
        <w:spacing w:after="0" w:line="127" w:lineRule="exact"/>
        <w:rPr>
          <w:sz w:val="20"/>
          <w:szCs w:val="20"/>
          <w:color w:val="auto"/>
        </w:rPr>
      </w:pPr>
    </w:p>
    <w:p>
      <w:pPr>
        <w:ind w:right="720"/>
        <w:spacing w:after="0" w:line="291" w:lineRule="auto"/>
        <w:rPr>
          <w:sz w:val="20"/>
          <w:szCs w:val="20"/>
          <w:color w:val="auto"/>
        </w:rPr>
      </w:pPr>
      <w:r>
        <w:rPr>
          <w:rFonts w:ascii="Arial" w:cs="Arial" w:eastAsia="Arial" w:hAnsi="Arial"/>
          <w:sz w:val="18"/>
          <w:szCs w:val="18"/>
          <w:b w:val="1"/>
          <w:bCs w:val="1"/>
          <w:i w:val="1"/>
          <w:iCs w:val="1"/>
          <w:color w:val="auto"/>
        </w:rPr>
        <w:t>Our goodwill and other long-lived assets have been, and could be, subject to impairment which could negatively impact our earnings.</w:t>
      </w:r>
    </w:p>
    <w:p>
      <w:pPr>
        <w:spacing w:after="0" w:line="19" w:lineRule="exact"/>
        <w:rPr>
          <w:sz w:val="20"/>
          <w:szCs w:val="20"/>
          <w:color w:val="auto"/>
        </w:rPr>
      </w:pPr>
    </w:p>
    <w:p>
      <w:pPr>
        <w:ind w:firstLine="442"/>
        <w:spacing w:after="0" w:line="259" w:lineRule="auto"/>
        <w:rPr>
          <w:sz w:val="20"/>
          <w:szCs w:val="20"/>
          <w:color w:val="auto"/>
        </w:rPr>
      </w:pPr>
      <w:r>
        <w:rPr>
          <w:rFonts w:ascii="Arial" w:cs="Arial" w:eastAsia="Arial" w:hAnsi="Arial"/>
          <w:sz w:val="18"/>
          <w:szCs w:val="18"/>
          <w:color w:val="auto"/>
        </w:rPr>
        <w:t>A significant portion of our assets consists of goodwill and other long-lived assets, the carrying value of which would be reduced if we determine that those assets are impaired. At December 31, 2025, goodwill and other intangible assets represented $843 million, or 24% of our total assets. In addition, net property, plant, and equipment, operating lease right-of-use assets, and other noncurrent assets totaled $950 million, or 27% of total assets.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Goodwill Impairment</w:t>
      </w:r>
    </w:p>
    <w:p>
      <w:pPr>
        <w:spacing w:after="0" w:line="88"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We test goodwill for impairment at the reporting unit level (the business groups that are one level below the operating segments) when triggering events occur or at least annually in the second quarter. We conduct impairment testing based on our current business strategy in light of present industry and economic conditions, as well as future expectations. In addition, our long-lived assets are reviewed for recoverability at year end and whenever events or changes in circumstances indicate carrying values may not be recoverable.</w:t>
      </w:r>
    </w:p>
    <w:p>
      <w:pPr>
        <w:spacing w:after="0" w:line="58" w:lineRule="exact"/>
        <w:rPr>
          <w:sz w:val="20"/>
          <w:szCs w:val="20"/>
          <w:color w:val="auto"/>
        </w:rPr>
      </w:pPr>
    </w:p>
    <w:p>
      <w:pPr>
        <w:ind w:right="80" w:firstLine="402"/>
        <w:spacing w:after="0" w:line="255" w:lineRule="auto"/>
        <w:rPr>
          <w:sz w:val="20"/>
          <w:szCs w:val="20"/>
          <w:color w:val="auto"/>
        </w:rPr>
      </w:pPr>
      <w:r>
        <w:rPr>
          <w:rFonts w:ascii="Arial" w:cs="Arial" w:eastAsia="Arial" w:hAnsi="Arial"/>
          <w:sz w:val="18"/>
          <w:szCs w:val="18"/>
          <w:color w:val="auto"/>
        </w:rPr>
        <w:t xml:space="preserve">The annual goodwill impairment testing in the second quarter of 2025 indicated no impairments. As of June 30, 2025, the fair values of all reporting units exceeded their respective carrying amounts by less than 100% in part due to ongoing macroeconomic uncertainties, including uncertainty surrounding tariffs. The fair values of our reporting units were reconciled to our consolidated market capitalization, which decreased due to the decline in the stock price compared to the prior year. Fair value exceeded carrying value by less than 50% at June 30, 2025 for the reporting units summarized in the table below, which excludes the Aerospace Products Group divested in August 2025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to the Consolidated Financial Statements on page 121.</w:t>
      </w:r>
    </w:p>
    <w:p>
      <w:pPr>
        <w:spacing w:after="0" w:line="74"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Fair value in excess of</w:t>
            </w:r>
          </w:p>
        </w:tc>
      </w:tr>
      <w:tr>
        <w:trPr>
          <w:trHeight w:val="22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Reporting Unit</w:t>
            </w:r>
          </w:p>
        </w:tc>
        <w:tc>
          <w:tcPr>
            <w:tcW w:w="20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December 31, 2025</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carrying value as of June</w:t>
            </w:r>
          </w:p>
        </w:tc>
      </w:tr>
      <w:tr>
        <w:trPr>
          <w:trHeight w:val="188"/>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(Dollar amounts in millions)</w:t>
            </w:r>
          </w:p>
        </w:tc>
        <w:tc>
          <w:tcPr>
            <w:tcW w:w="200" w:type="dxa"/>
            <w:vAlign w:val="bottom"/>
          </w:tcPr>
          <w:p>
            <w:pPr>
              <w:spacing w:after="0"/>
              <w:rPr>
                <w:sz w:val="16"/>
                <w:szCs w:val="16"/>
                <w:color w:val="auto"/>
              </w:rPr>
            </w:pPr>
          </w:p>
        </w:tc>
        <w:tc>
          <w:tcPr>
            <w:tcW w:w="2080" w:type="dxa"/>
            <w:vAlign w:val="bottom"/>
            <w:gridSpan w:val="2"/>
          </w:tcPr>
          <w:p>
            <w:pPr>
              <w:jc w:val="center"/>
              <w:ind w:right="300"/>
              <w:spacing w:after="0" w:line="188" w:lineRule="exact"/>
              <w:rPr>
                <w:sz w:val="20"/>
                <w:szCs w:val="20"/>
                <w:color w:val="auto"/>
              </w:rPr>
            </w:pPr>
            <w:r>
              <w:rPr>
                <w:rFonts w:ascii="Arial" w:cs="Arial" w:eastAsia="Arial" w:hAnsi="Arial"/>
                <w:sz w:val="18"/>
                <w:szCs w:val="18"/>
                <w:b w:val="1"/>
                <w:bCs w:val="1"/>
                <w:color w:val="auto"/>
                <w:w w:val="97"/>
              </w:rPr>
              <w:t>Goodwill Value</w:t>
            </w:r>
          </w:p>
        </w:tc>
        <w:tc>
          <w:tcPr>
            <w:tcW w:w="236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6"/>
              </w:rPr>
              <w:t>30, 2025</w:t>
            </w:r>
          </w:p>
        </w:tc>
      </w:tr>
      <w:tr>
        <w:trPr>
          <w:trHeight w:val="221"/>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Bedding</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3260" w:type="dxa"/>
            <w:vAlign w:val="bottom"/>
            <w:gridSpan w:val="2"/>
          </w:tcPr>
          <w:p>
            <w:pPr>
              <w:spacing w:after="0"/>
              <w:rPr>
                <w:sz w:val="20"/>
                <w:szCs w:val="20"/>
                <w:color w:val="auto"/>
              </w:rPr>
            </w:pPr>
            <w:r>
              <w:rPr>
                <w:rFonts w:ascii="Arial" w:cs="Arial" w:eastAsia="Arial" w:hAnsi="Arial"/>
                <w:sz w:val="18"/>
                <w:szCs w:val="18"/>
                <w:color w:val="auto"/>
              </w:rPr>
              <w:t>Home Furniture</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34</w:t>
            </w:r>
          </w:p>
        </w:tc>
      </w:tr>
      <w:tr>
        <w:trPr>
          <w:trHeight w:val="228"/>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 Furniture</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r>
    </w:tbl>
    <w:p>
      <w:pPr>
        <w:spacing w:after="0" w:line="155" w:lineRule="exact"/>
        <w:rPr>
          <w:sz w:val="20"/>
          <w:szCs w:val="20"/>
          <w:color w:val="auto"/>
        </w:rPr>
      </w:pPr>
    </w:p>
    <w:p>
      <w:pPr>
        <w:ind w:right="280" w:firstLine="402"/>
        <w:spacing w:after="0" w:line="265" w:lineRule="auto"/>
        <w:rPr>
          <w:sz w:val="20"/>
          <w:szCs w:val="20"/>
          <w:color w:val="auto"/>
        </w:rPr>
      </w:pPr>
      <w:r>
        <w:rPr>
          <w:rFonts w:ascii="Arial" w:cs="Arial" w:eastAsia="Arial" w:hAnsi="Arial"/>
          <w:sz w:val="18"/>
          <w:szCs w:val="18"/>
          <w:color w:val="auto"/>
        </w:rPr>
        <w:t>If expectations are not met in future quarters, additional goodwill impairment(s) may be required. In evaluating the potential for impairment of goodwill and other long-lived assets, we make assumptions and estimates regarding future operating performance, business trends, and market and economic performance, including future sales, operating margins, growth rates, and discount rates.</w:t>
      </w:r>
    </w:p>
    <w:p>
      <w:pPr>
        <w:spacing w:after="0" w:line="52"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are continuing to monitor all factors impacting these reporting units. If actual results or the long-term outlook of any of our reporting units materially differ from the assumptions and estimates used in the goodwill and other long-lived assets valuation calculations, or there is a sustained decrease in our stock price, we could incur future non-cash impairment charges, which would have a material negative impact on our earnings.</w:t>
      </w:r>
    </w:p>
    <w:p>
      <w:pPr>
        <w:spacing w:after="0" w:line="45" w:lineRule="exact"/>
        <w:rPr>
          <w:sz w:val="20"/>
          <w:szCs w:val="20"/>
          <w:color w:val="auto"/>
        </w:rPr>
      </w:pPr>
    </w:p>
    <w:p>
      <w:pPr>
        <w:ind w:right="220" w:firstLine="402"/>
        <w:spacing w:after="0" w:line="257" w:lineRule="auto"/>
        <w:rPr>
          <w:sz w:val="20"/>
          <w:szCs w:val="20"/>
          <w:color w:val="auto"/>
        </w:rPr>
      </w:pPr>
      <w:r>
        <w:rPr>
          <w:rFonts w:ascii="Arial" w:cs="Arial" w:eastAsia="Arial" w:hAnsi="Arial"/>
          <w:sz w:val="18"/>
          <w:szCs w:val="18"/>
          <w:color w:val="auto"/>
        </w:rPr>
        <w:t>The annual goodwill impairment testing in the second quarter of 2024 indicated that fair value had fallen below carrying value for three reporting units. We had non-cash impairments in 2024 of $587 million, $44 million, and $44 million in our Bedding, Work Furniture, and Hydraulic Cylinders reporting units, respectively. After this impairment, the Hydraulic Cylinders reporting unit did not have any goodwill remaining. In addition, we had an impairment of $1 million related to a small U.S. machinery business within the Bedding Products segment that reached held-for-sale status in the fourth quarter of 2024 and was associated with the 2024 Plan.</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Long-lived Asset Impairment</w:t>
      </w:r>
    </w:p>
    <w:p>
      <w:pPr>
        <w:spacing w:after="0" w:line="101" w:lineRule="exact"/>
        <w:rPr>
          <w:sz w:val="20"/>
          <w:szCs w:val="20"/>
          <w:color w:val="auto"/>
        </w:rPr>
      </w:pPr>
    </w:p>
    <w:p>
      <w:pPr>
        <w:jc w:val="both"/>
        <w:ind w:right="60" w:firstLine="402"/>
        <w:spacing w:after="0" w:line="265"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E</w:t>
      </w:r>
      <w:r>
        <w:rPr>
          <w:rFonts w:ascii="Arial" w:cs="Arial" w:eastAsia="Arial" w:hAnsi="Arial"/>
          <w:sz w:val="18"/>
          <w:szCs w:val="18"/>
          <w:color w:val="auto"/>
        </w:rPr>
        <w:t xml:space="preserve"> to the Consolidated Financial Statements on page 94, impairment charges of $19 million in 2025 were related to the 2024 Plan and were primarily related to lease impairments. We had $6 million of long-lived asset impairment charges in 2024, of which $4 million were associated with the 2024 Plan.</w:t>
      </w:r>
    </w:p>
    <w:p>
      <w:pPr>
        <w:spacing w:after="0" w:line="38" w:lineRule="exact"/>
        <w:rPr>
          <w:sz w:val="20"/>
          <w:szCs w:val="20"/>
          <w:color w:val="auto"/>
        </w:rPr>
      </w:pPr>
    </w:p>
    <w:p>
      <w:pPr>
        <w:ind w:right="80" w:firstLine="402"/>
        <w:spacing w:after="0" w:line="254" w:lineRule="auto"/>
        <w:rPr>
          <w:sz w:val="20"/>
          <w:szCs w:val="20"/>
          <w:color w:val="auto"/>
        </w:rPr>
      </w:pPr>
      <w:r>
        <w:rPr>
          <w:rFonts w:ascii="Arial" w:cs="Arial" w:eastAsia="Arial" w:hAnsi="Arial"/>
          <w:sz w:val="18"/>
          <w:szCs w:val="18"/>
          <w:color w:val="auto"/>
        </w:rPr>
        <w:t>Late in the fourth quarter of 2023, we had a triggering event to review long-lived assets and test for impairment when certain of our Elite Comfort Solutions and Kayfoam customers notified us of efforts to improve their financial position by moving their business to or exploring alternative suppliers, which adversely impacted our future cash flow forecast. Although estimated undiscounted cash flows had previously exceeded carrying values, updated sales and earnings forecasts completed in early January 2024 indicated reduced expected cash flows. As a result, we performed recoverability and impairment testing, which led to a non-cash pretax charge of $444 million for long-lived asset impairments (primarily customer relationships, technology, and trademarks) in the Bedding Products segment for the fourth quarter of 2023. This impairment was unrelated to the 2024 Restructuring Plan.</w:t>
      </w:r>
    </w:p>
    <w:p>
      <w:pPr>
        <w:spacing w:after="0" w:line="62"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color w:val="auto"/>
        </w:rPr>
        <w:t>We regularly evaluate long-lived assets for indicators of impairment, such as market conditions, operating performance, strategic decisions, or technical obsolescence. While we believe our current asset valuations are appropriate, future assessments may result in non-cash charges, which would have a material negative impact to our earnings.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600"/>
        <w:spacing w:after="0" w:line="269" w:lineRule="auto"/>
        <w:rPr>
          <w:sz w:val="20"/>
          <w:szCs w:val="20"/>
          <w:color w:val="auto"/>
        </w:rPr>
      </w:pPr>
      <w:r>
        <w:rPr>
          <w:rFonts w:ascii="Arial" w:cs="Arial" w:eastAsia="Arial" w:hAnsi="Arial"/>
          <w:sz w:val="18"/>
          <w:szCs w:val="18"/>
          <w:b w:val="1"/>
          <w:bCs w:val="1"/>
          <w:i w:val="1"/>
          <w:iCs w:val="1"/>
          <w:color w:val="auto"/>
        </w:rPr>
        <w:t>If we do not comply with the restrictive covenants in our credit facility, we may not be able to borrow in the commercial paper market or under our credit facility and our outstanding debt instruments may default, all of which would adversely impact our liquidity.</w:t>
      </w:r>
    </w:p>
    <w:p>
      <w:pPr>
        <w:spacing w:after="0" w:line="39"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Our multi-currency credit facility was amended in July 2025 and matures on July 24, 2030. It provides us the ability, from time to time, subject to certain restrictive covenants and customary conditions, to borrow, repay, and re-borrow up to $1 billion (previous to the amendment was $1.2 billion). At December 31, 2025, we were in compliance with all of our debt covenants. Capitalized terms used in this section but not defined herein have the meanings set forth in the Credit Agreement.</w:t>
      </w:r>
    </w:p>
    <w:p>
      <w:pPr>
        <w:spacing w:after="0" w:line="45" w:lineRule="exact"/>
        <w:rPr>
          <w:sz w:val="20"/>
          <w:szCs w:val="20"/>
          <w:color w:val="auto"/>
        </w:rPr>
      </w:pPr>
    </w:p>
    <w:p>
      <w:pPr>
        <w:ind w:right="60" w:firstLine="402"/>
        <w:spacing w:after="0" w:line="269" w:lineRule="auto"/>
        <w:rPr>
          <w:sz w:val="20"/>
          <w:szCs w:val="20"/>
          <w:color w:val="auto"/>
        </w:rPr>
      </w:pPr>
      <w:r>
        <w:rPr>
          <w:rFonts w:ascii="Arial" w:cs="Arial" w:eastAsia="Arial" w:hAnsi="Arial"/>
          <w:sz w:val="17"/>
          <w:szCs w:val="17"/>
          <w:color w:val="auto"/>
        </w:rPr>
        <w:t>Our credit facility contains restrictive covenants, which include: (a) a Leverage Ratio requiring us to maintain, as of the last day of each fiscal quarter, (i) Consolidated Funded Indebtedness minus the lesser of: (A) Unrestricted Cash, or (B) $750 million to (ii) Consolidated EBITDA for the four consecutive trailing quarters most recently ended on or prior to such date, such ratio not being greater than 3.50 to 1.00; provided however, subject to certain limitations, if we make a Material Acquisition, at our election, the maximum Leverage Ratio shall be 4.00 to 1.00 for the fiscal quarter during which such Material Acquisition is consummated and the next three consecutive fiscal quarters; (b) a limitation of the amount of total secured obligations to 15% of our total consolidated assets; and (c) a limitation on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For more information about long-term debt, please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101"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At December 31, 2025, we had no commercial paper outstanding and had no borrowing under the credit facility. Based on our trailing 12-month Consolidated EBITDA, Unrestricted Cash, debt levels, and a leverage ratio covenant of 3.50 to 1.00 at December 31, 2025, our borrowing capacity under the credit facility was $709 million. This may not be indicative of the actual borrowing capacity moving forward, which may be materially different depending on our Consolidated EBITDA, Unrestricted Cash, debt levels at the time, and leverage ratio requirements. As our trailing 12-month Consolidated EBITDA, Unrestricted Cash, debt levels, and leverage ratio requirements change, our borrowing capacity increases or decreases.</w:t>
      </w:r>
    </w:p>
    <w:p>
      <w:pPr>
        <w:spacing w:after="0" w:line="48" w:lineRule="exact"/>
        <w:rPr>
          <w:sz w:val="20"/>
          <w:szCs w:val="20"/>
          <w:color w:val="auto"/>
        </w:rPr>
      </w:pPr>
    </w:p>
    <w:p>
      <w:pPr>
        <w:ind w:right="40" w:firstLine="402"/>
        <w:spacing w:after="0" w:line="273" w:lineRule="auto"/>
        <w:rPr>
          <w:sz w:val="20"/>
          <w:szCs w:val="20"/>
          <w:color w:val="auto"/>
        </w:rPr>
      </w:pPr>
      <w:r>
        <w:rPr>
          <w:rFonts w:ascii="Arial" w:cs="Arial" w:eastAsia="Arial" w:hAnsi="Arial"/>
          <w:sz w:val="17"/>
          <w:szCs w:val="17"/>
          <w:color w:val="auto"/>
        </w:rPr>
        <w:t>If our earnings are reduced, the covenants in the credit facility will continue to limit our borrowing capacity, both under the credit facility or through commercial paper issuances. Depending on the degree of earnings reduction, our liquidity could be materially negatively impacted. This covenant may also restrict our current and future operations, including (i) our flexibility to plan for, or react to, changes in our businesses and industries; and (ii) our ability to use our cash flows, or obtain additional financing, for future working capital, capital expenditures, acquisitions, or other general corporate purposes. If we are not in compliance with the restrictive covenants in our credit facility, and are unable to negotiate more lenient terms, we may not be able to access the commercial paper market or borrow under the credit facility.</w:t>
      </w:r>
    </w:p>
    <w:p>
      <w:pPr>
        <w:spacing w:after="0" w:line="47"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Also, if we fail to comply with the covenants specified in the credit facility, we may trigger an event of default, in which case the lenders would have the right to: (i) terminate their commitment to provide loans under the credit facility; and (ii) declare all borrowings outstanding, together with accrued and unpaid interest and fees, to be immediately due and payable. Additionally, our senior notes contain cross-default provisions which could make outstanding amounts under the senior notes immediately payable in the event of an acceleration of amounts due under the credit facility following a material uncured default. If debt under the credit facility or senior notes were to be accelerated, we may not have sufficient cash to repay this debt, which would have an immediate material adverse effect on our business, results of operations, and financial condition.</w:t>
      </w:r>
    </w:p>
    <w:p>
      <w:pPr>
        <w:spacing w:after="0" w:line="131"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b w:val="1"/>
          <w:bCs w:val="1"/>
          <w:i w:val="1"/>
          <w:iCs w:val="1"/>
          <w:color w:val="auto"/>
        </w:rPr>
        <w:t>We may not be able to realize deferred tax assets on our balance sheet, depending upon the amount and source of future taxable income.</w:t>
      </w:r>
    </w:p>
    <w:p>
      <w:pPr>
        <w:spacing w:after="0" w:line="19" w:lineRule="exact"/>
        <w:rPr>
          <w:sz w:val="20"/>
          <w:szCs w:val="20"/>
          <w:color w:val="auto"/>
        </w:rPr>
      </w:pPr>
    </w:p>
    <w:p>
      <w:pPr>
        <w:ind w:right="240" w:firstLine="402"/>
        <w:spacing w:after="0" w:line="279" w:lineRule="auto"/>
        <w:rPr>
          <w:sz w:val="20"/>
          <w:szCs w:val="20"/>
          <w:color w:val="auto"/>
        </w:rPr>
      </w:pPr>
      <w:r>
        <w:rPr>
          <w:rFonts w:ascii="Arial" w:cs="Arial" w:eastAsia="Arial" w:hAnsi="Arial"/>
          <w:sz w:val="17"/>
          <w:szCs w:val="17"/>
          <w:color w:val="auto"/>
        </w:rPr>
        <w:t xml:space="preserve">Our ability to realize deferred tax assets on our balance sheet is dependent upon the amount and source of future taxable income. As discussed in </w:t>
      </w:r>
      <w:r>
        <w:rPr>
          <w:rFonts w:ascii="Arial" w:cs="Arial" w:eastAsia="Arial" w:hAnsi="Arial"/>
          <w:sz w:val="17"/>
          <w:szCs w:val="17"/>
          <w:u w:val="single" w:color="auto"/>
          <w:color w:val="0000FF"/>
        </w:rPr>
        <w:t>Note O</w:t>
      </w:r>
      <w:r>
        <w:rPr>
          <w:rFonts w:ascii="Arial" w:cs="Arial" w:eastAsia="Arial" w:hAnsi="Arial"/>
          <w:sz w:val="17"/>
          <w:szCs w:val="17"/>
          <w:color w:val="auto"/>
        </w:rPr>
        <w:t xml:space="preserve"> of the Consolidated Financial Statements, we had $153 million of deferred tax assets (net of a $21 million valuation allowance) as of December 31, 2025. It is possible the amount and source of our taxable income could materially change in the future. This change may impact our underlying assumptions on which valuation allowances are established and negatively affect future period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earnings and balance sheets. As a result, we may not be able to realize deferred tax assets on our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Market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raw materials have negatively affected, and could continue to negatively affect, our profit margins and earnings.</w:t>
      </w:r>
    </w:p>
    <w:p>
      <w:pPr>
        <w:spacing w:after="0" w:line="99" w:lineRule="exact"/>
        <w:rPr>
          <w:sz w:val="20"/>
          <w:szCs w:val="20"/>
          <w:color w:val="auto"/>
        </w:rPr>
      </w:pPr>
    </w:p>
    <w:p>
      <w:pPr>
        <w:ind w:right="60" w:firstLine="402"/>
        <w:spacing w:after="0" w:line="254" w:lineRule="auto"/>
        <w:rPr>
          <w:sz w:val="20"/>
          <w:szCs w:val="20"/>
          <w:color w:val="auto"/>
        </w:rPr>
      </w:pPr>
      <w:r>
        <w:rPr>
          <w:rFonts w:ascii="Arial" w:cs="Arial" w:eastAsia="Arial" w:hAnsi="Arial"/>
          <w:sz w:val="18"/>
          <w:szCs w:val="18"/>
          <w:color w:val="auto"/>
        </w:rPr>
        <w:t>Raw material cost increases, whether from inflation or otherwise (and our ability to respond to cost increases through selling price increases), can significantly impact our earnings. We typically have short-term commitments from our suppliers; accordingly, our raw material costs generally move with the market. When we experience significant increases in raw material costs, we typically implement price increases to recover the higher costs. Inability to recover cost increases (or a delay in the recovery time) can negatively impact our earnings. Conversely, if raw material costs decrease, we generally pass through reduced selling prices to our customers. The timing of lower selling prices, combined with turnover rate of the higher-cost inventory on hand prior to the cost reduction, may reduce our profit margins and earnings.</w:t>
      </w:r>
    </w:p>
    <w:p>
      <w:pPr>
        <w:spacing w:after="0" w:line="48" w:lineRule="exact"/>
        <w:rPr>
          <w:sz w:val="20"/>
          <w:szCs w:val="20"/>
          <w:color w:val="auto"/>
        </w:rPr>
      </w:pPr>
    </w:p>
    <w:p>
      <w:pPr>
        <w:ind w:right="180" w:firstLine="402"/>
        <w:spacing w:after="0" w:line="257" w:lineRule="auto"/>
        <w:rPr>
          <w:sz w:val="20"/>
          <w:szCs w:val="20"/>
          <w:color w:val="auto"/>
        </w:rPr>
      </w:pPr>
      <w:r>
        <w:rPr>
          <w:rFonts w:ascii="Arial" w:cs="Arial" w:eastAsia="Arial" w:hAnsi="Arial"/>
          <w:sz w:val="18"/>
          <w:szCs w:val="18"/>
          <w:color w:val="auto"/>
        </w:rPr>
        <w:t>Steel is our principal raw material. The global steel markets are cyclical in nature and have been volatile in recent years. This volatility can result in large swings in pricing and margins from year to year. As a producer of steel rod, we are also impacted by volatility in metal margins (the difference between the cost of steel scrap and the market price for steel rod). If market conditions cause scrap costs and rod pricing to change at different rates (both in terms of timing and amount), metal margins could again become compressed as they have in the past and this would negatively impact our results of operations.</w:t>
      </w:r>
    </w:p>
    <w:p>
      <w:pPr>
        <w:spacing w:after="0" w:line="5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We import certain chemicals to supplement domestic supply, but port delays and logistics issues could limit access to those products. We have exposure to the cost of chemicals, including TDI, MDI, and polyol. The cost of these chemicals has fluctuated at times, but we have generally passed the changes through to our customers. If we are unable to obtain the chemicals or pass the cost along to our customers, our results of operations may be negatively impacted.</w:t>
      </w:r>
    </w:p>
    <w:p>
      <w:pPr>
        <w:spacing w:after="0" w:line="58" w:lineRule="exact"/>
        <w:rPr>
          <w:sz w:val="20"/>
          <w:szCs w:val="20"/>
          <w:color w:val="auto"/>
        </w:rPr>
      </w:pPr>
    </w:p>
    <w:p>
      <w:pPr>
        <w:jc w:val="both"/>
        <w:ind w:right="40" w:firstLine="402"/>
        <w:spacing w:after="0" w:line="265" w:lineRule="auto"/>
        <w:rPr>
          <w:sz w:val="20"/>
          <w:szCs w:val="20"/>
          <w:color w:val="auto"/>
        </w:rPr>
      </w:pPr>
      <w:r>
        <w:rPr>
          <w:rFonts w:ascii="Arial" w:cs="Arial" w:eastAsia="Arial" w:hAnsi="Arial"/>
          <w:sz w:val="18"/>
          <w:szCs w:val="18"/>
          <w:color w:val="auto"/>
        </w:rPr>
        <w:t>Higher raw material costs could lead some of our customers to modify their product designs, causing a change in the quantity and mix of our components in their finished goods (replacing higher-cost with lower-cost components). If this were to occur, it could negatively impact our results of operations.</w:t>
      </w:r>
    </w:p>
    <w:p>
      <w:pPr>
        <w:spacing w:after="0" w:line="121" w:lineRule="exact"/>
        <w:rPr>
          <w:sz w:val="20"/>
          <w:szCs w:val="20"/>
          <w:color w:val="auto"/>
        </w:rPr>
      </w:pPr>
    </w:p>
    <w:p>
      <w:pPr>
        <w:ind w:right="440"/>
        <w:spacing w:after="0" w:line="291" w:lineRule="auto"/>
        <w:rPr>
          <w:sz w:val="20"/>
          <w:szCs w:val="20"/>
          <w:color w:val="auto"/>
        </w:rPr>
      </w:pPr>
      <w:r>
        <w:rPr>
          <w:rFonts w:ascii="Arial" w:cs="Arial" w:eastAsia="Arial" w:hAnsi="Arial"/>
          <w:sz w:val="18"/>
          <w:szCs w:val="18"/>
          <w:b w:val="1"/>
          <w:bCs w:val="1"/>
          <w:i w:val="1"/>
          <w:iCs w:val="1"/>
          <w:color w:val="auto"/>
        </w:rPr>
        <w:t>Mattress and innerspring imports from foreign manufacturers have affected, and could continue to adversely affect, our market share, sales, profit margins, and earnings.</w:t>
      </w:r>
    </w:p>
    <w:p>
      <w:pPr>
        <w:spacing w:after="0" w:line="5"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We continue to face pressure from foreign competitors, as some of our customers source a portion of their components and finished products offshore. We have experienced some reduced sales and lower earnings related to lower-priced imports of mattresses and innersprings. Continued lower-priced mattress and innerspring imports could further negatively impact our market share, sales, profit margins, and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Unfair competition could adversely affect our market share, sales, profit margins, and earnings.</w:t>
      </w:r>
    </w:p>
    <w:p>
      <w:pPr>
        <w:spacing w:after="0" w:line="99" w:lineRule="exact"/>
        <w:rPr>
          <w:sz w:val="20"/>
          <w:szCs w:val="20"/>
          <w:color w:val="auto"/>
        </w:rPr>
      </w:pPr>
    </w:p>
    <w:p>
      <w:pPr>
        <w:jc w:val="both"/>
        <w:ind w:right="560" w:firstLine="322"/>
        <w:spacing w:after="0" w:line="249" w:lineRule="auto"/>
        <w:rPr>
          <w:sz w:val="20"/>
          <w:szCs w:val="20"/>
          <w:color w:val="auto"/>
        </w:rPr>
      </w:pPr>
      <w:r>
        <w:rPr>
          <w:rFonts w:ascii="Arial" w:cs="Arial" w:eastAsia="Arial" w:hAnsi="Arial"/>
          <w:sz w:val="18"/>
          <w:szCs w:val="18"/>
          <w:color w:val="auto"/>
        </w:rPr>
        <w:t>We manufacture innersprings, steel wire rod, and finished mattresses. Our products have been subject to competition from foreign manufacturers alleged to be selling at less than fair value or benefiting from unfair subsidies. In response to petitions filed with the U.S. Department of Commerce (DOC) and the U.S. International Trade Commission (ITC), antidumping and countervailing duties have been imposed on imports of innersprings, steel wire rod, and mattresses from certain countries.</w:t>
      </w:r>
    </w:p>
    <w:p>
      <w:pPr>
        <w:spacing w:after="0" w:line="53" w:lineRule="exact"/>
        <w:rPr>
          <w:sz w:val="20"/>
          <w:szCs w:val="20"/>
          <w:color w:val="auto"/>
        </w:rPr>
      </w:pPr>
    </w:p>
    <w:p>
      <w:pPr>
        <w:ind w:firstLine="402"/>
        <w:spacing w:after="0" w:line="249" w:lineRule="auto"/>
        <w:rPr>
          <w:sz w:val="20"/>
          <w:szCs w:val="20"/>
          <w:color w:val="auto"/>
        </w:rPr>
      </w:pPr>
      <w:r>
        <w:rPr>
          <w:rFonts w:ascii="Arial" w:cs="Arial" w:eastAsia="Arial" w:hAnsi="Arial"/>
          <w:sz w:val="18"/>
          <w:szCs w:val="18"/>
          <w:color w:val="auto"/>
        </w:rPr>
        <w:t>Some of these orders remain subject to appeal. In February 2025, the DOC determined that revoking the 2019 antidumping duty order on mattresses from China would likely lead to continued dumping. The ITC extended the order, and duties of up to 1,732% will remain in effect through May 2030. Also in 2025, the DOC and ITC extended antidumping duty orders on uncovered innersprings from China, Vietnam, and South Africa through April 2030, with duties ranging from 116% to 234%.</w:t>
      </w:r>
    </w:p>
    <w:p>
      <w:pPr>
        <w:spacing w:after="0" w:line="53" w:lineRule="exact"/>
        <w:rPr>
          <w:sz w:val="20"/>
          <w:szCs w:val="20"/>
          <w:color w:val="auto"/>
        </w:rPr>
      </w:pPr>
    </w:p>
    <w:p>
      <w:pPr>
        <w:ind w:right="80" w:firstLine="402"/>
        <w:spacing w:after="0" w:line="249" w:lineRule="auto"/>
        <w:rPr>
          <w:sz w:val="20"/>
          <w:szCs w:val="20"/>
          <w:color w:val="auto"/>
        </w:rPr>
      </w:pPr>
      <w:r>
        <w:rPr>
          <w:rFonts w:ascii="Arial" w:cs="Arial" w:eastAsia="Arial" w:hAnsi="Arial"/>
          <w:sz w:val="18"/>
          <w:szCs w:val="18"/>
          <w:color w:val="auto"/>
        </w:rPr>
        <w:t>Currently, sunset reviews are being conducted by the ITC regarding existing duties on imports of steel rod wire from Brazil, Indonesia, Mexico, Moldova and Trinidad &amp; Tobago. The current anti-dumping and countervailing duty orders range from 3% to 369%. If the ITC and DOC rule favorably, the duties will be extended another five years. If the ITC rules against the Company, it could negatively impact our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 xml:space="preserve">Also, if any of these duties are overturned on appeal, allowed to expire, or circumvented through transshipment or other means, and dumping or subsidization resumes, our competitive position and financial results could be materially and adversely affected. For more information on antidumping and/or countervailing duties regarding innersprings, steel wire rod and mattresses, please refer to the </w:t>
      </w:r>
      <w:r>
        <w:rPr>
          <w:rFonts w:ascii="Arial" w:cs="Arial" w:eastAsia="Arial" w:hAnsi="Arial"/>
          <w:sz w:val="18"/>
          <w:szCs w:val="18"/>
          <w:u w:val="single" w:color="auto"/>
          <w:color w:val="0000FF"/>
        </w:rPr>
        <w:t>Competition</w:t>
      </w:r>
      <w:r>
        <w:rPr>
          <w:rFonts w:ascii="Arial" w:cs="Arial" w:eastAsia="Arial" w:hAnsi="Arial"/>
          <w:sz w:val="18"/>
          <w:szCs w:val="18"/>
          <w:color w:val="auto"/>
        </w:rPr>
        <w:t xml:space="preserve"> section on page 42 in Item 7. Management's Discussion and Analysis of Financial Conditions and Results of Operations, and </w:t>
      </w:r>
      <w:r>
        <w:rPr>
          <w:rFonts w:ascii="Arial" w:cs="Arial" w:eastAsia="Arial" w:hAnsi="Arial"/>
          <w:sz w:val="18"/>
          <w:szCs w:val="18"/>
          <w:u w:val="single" w:color="auto"/>
          <w:color w:val="0000FF"/>
        </w:rPr>
        <w:t>Item 3. Legal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Proceedings</w:t>
      </w:r>
      <w:r>
        <w:rPr>
          <w:rFonts w:ascii="Arial" w:cs="Arial" w:eastAsia="Arial" w:hAnsi="Arial"/>
          <w:sz w:val="18"/>
          <w:szCs w:val="18"/>
          <w:color w:val="0000FF"/>
        </w:rPr>
        <w:t xml:space="preserve"> </w:t>
      </w:r>
      <w:r>
        <w:rPr>
          <w:rFonts w:ascii="Arial" w:cs="Arial" w:eastAsia="Arial" w:hAnsi="Arial"/>
          <w:sz w:val="18"/>
          <w:szCs w:val="18"/>
          <w:color w:val="000000"/>
        </w:rPr>
        <w:t>on page 30.</w:t>
      </w:r>
    </w:p>
    <w:p>
      <w:pPr>
        <w:spacing w:after="0" w:line="47"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b w:val="1"/>
          <w:bCs w:val="1"/>
          <w:i w:val="1"/>
          <w:iCs w:val="1"/>
          <w:color w:val="auto"/>
        </w:rPr>
        <w:t>We operate in a highly competitive automotive industry and efforts by our competitors, as well as new entrants to the industry, to gain market share could negatively impact our business, results of operations, and financial condition.</w:t>
      </w:r>
    </w:p>
    <w:p>
      <w:pPr>
        <w:spacing w:after="0" w:line="19" w:lineRule="exact"/>
        <w:rPr>
          <w:sz w:val="20"/>
          <w:szCs w:val="20"/>
          <w:color w:val="auto"/>
        </w:rPr>
      </w:pPr>
    </w:p>
    <w:p>
      <w:pPr>
        <w:ind w:right="320" w:firstLine="402"/>
        <w:spacing w:after="0" w:line="259" w:lineRule="auto"/>
        <w:rPr>
          <w:sz w:val="20"/>
          <w:szCs w:val="20"/>
          <w:color w:val="auto"/>
        </w:rPr>
      </w:pPr>
      <w:r>
        <w:rPr>
          <w:rFonts w:ascii="Arial" w:cs="Arial" w:eastAsia="Arial" w:hAnsi="Arial"/>
          <w:sz w:val="18"/>
          <w:szCs w:val="18"/>
          <w:color w:val="auto"/>
        </w:rPr>
        <w:t>The automotive component industry is highly competitive. The evolving automotive market, including the growth of hybrid and electric vehicles, has attracted, and may continue to attract, new OEM entrants to the industry, resulting in market share losses for our existing customers. We have also experienced increased competition from Chinese-based component suppliers who are growing market share in China, particularly with Chinese-based OEMs, which may adversely affect sales and profit margins of our products.</w:t>
      </w:r>
    </w:p>
    <w:p>
      <w:pPr>
        <w:spacing w:after="0" w:line="58" w:lineRule="exact"/>
        <w:rPr>
          <w:sz w:val="20"/>
          <w:szCs w:val="20"/>
          <w:color w:val="auto"/>
        </w:rPr>
      </w:pPr>
    </w:p>
    <w:p>
      <w:pPr>
        <w:jc w:val="both"/>
        <w:ind w:right="60" w:firstLine="402"/>
        <w:spacing w:after="0" w:line="259" w:lineRule="auto"/>
        <w:rPr>
          <w:sz w:val="20"/>
          <w:szCs w:val="20"/>
          <w:color w:val="auto"/>
        </w:rPr>
      </w:pPr>
      <w:r>
        <w:rPr>
          <w:rFonts w:ascii="Arial" w:cs="Arial" w:eastAsia="Arial" w:hAnsi="Arial"/>
          <w:sz w:val="18"/>
          <w:szCs w:val="18"/>
          <w:color w:val="auto"/>
        </w:rPr>
        <w:t>In Europe, economic softness and consumer affordability issues have given Chinese electric vehicle (EV) manufacturers opportunities to supply lower price electric vehicles, leading to production declines and program launch delays for our customers. In North America, consumer affordability issues and uncertainty around EV transition timelines are resulting in program launch delays and our customers replacing higher cost components with lower cost components.</w:t>
      </w:r>
    </w:p>
    <w:p>
      <w:pPr>
        <w:spacing w:after="0" w:line="45"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If we are unable to differentiate existing or create new innovative products, adapt to new technologies or evolving customer requirements, maintain a low-cost footprint, or compete effectively, we may lose market share or be forced to reduce prices, thereby lowering our margins. Any such occurrences could adversely affect our business, results of operations, and financial condition.</w:t>
      </w:r>
    </w:p>
    <w:p>
      <w:pPr>
        <w:spacing w:after="0" w:line="54" w:lineRule="exact"/>
        <w:rPr>
          <w:sz w:val="20"/>
          <w:szCs w:val="20"/>
          <w:color w:val="auto"/>
        </w:rPr>
      </w:pPr>
    </w:p>
    <w:p>
      <w:pPr>
        <w:ind w:right="560"/>
        <w:spacing w:after="0" w:line="291" w:lineRule="auto"/>
        <w:rPr>
          <w:sz w:val="20"/>
          <w:szCs w:val="20"/>
          <w:color w:val="auto"/>
        </w:rPr>
      </w:pPr>
      <w:r>
        <w:rPr>
          <w:rFonts w:ascii="Arial" w:cs="Arial" w:eastAsia="Arial" w:hAnsi="Arial"/>
          <w:sz w:val="18"/>
          <w:szCs w:val="18"/>
          <w:b w:val="1"/>
          <w:bCs w:val="1"/>
          <w:i w:val="1"/>
          <w:iCs w:val="1"/>
          <w:color w:val="auto"/>
        </w:rPr>
        <w:t>We are exposed to foreign currency exchange rate risk which may negatively impact our competitiveness, profit margins, and earnings.</w:t>
      </w:r>
    </w:p>
    <w:p>
      <w:pPr>
        <w:spacing w:after="0" w:line="19" w:lineRule="exact"/>
        <w:rPr>
          <w:sz w:val="20"/>
          <w:szCs w:val="20"/>
          <w:color w:val="auto"/>
        </w:rPr>
      </w:pPr>
    </w:p>
    <w:p>
      <w:pPr>
        <w:ind w:right="60" w:firstLine="402"/>
        <w:spacing w:after="0" w:line="254" w:lineRule="auto"/>
        <w:rPr>
          <w:sz w:val="20"/>
          <w:szCs w:val="20"/>
          <w:color w:val="auto"/>
        </w:rPr>
      </w:pPr>
      <w:r>
        <w:rPr>
          <w:rFonts w:ascii="Arial" w:cs="Arial" w:eastAsia="Arial" w:hAnsi="Arial"/>
          <w:sz w:val="18"/>
          <w:szCs w:val="18"/>
          <w:color w:val="auto"/>
        </w:rPr>
        <w:t>In 2025, 41% of our sales were generated by international operations, primarily in Europe, China, Canada, and Mexico. As of December 31, 2025, 43 of our manufacturing facilities were located outside the United States. We are exposed to currency exchange rate fluctuations by our purchase of raw materials and component parts from suppliers in multiple countries. We experience currency-related gains and losses where sales or purchases are denominated in currencies other than the functional currency. We also have balance sheet, cash flow, and net investment risk associated with foreign currency exchange rates. If the applicable foreign currency exchange rates devalue the currency we receive for the sale of our products or the currency we use to purchase raw materials or component parts from our suppliers, it may have a material adverse effect on our competitiveness, profit margins, and earnings.</w:t>
      </w: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Information Technology and Cybersecurity Risk Factors</w:t>
      </w:r>
    </w:p>
    <w:p>
      <w:pPr>
        <w:spacing w:after="0" w:line="184" w:lineRule="exact"/>
        <w:rPr>
          <w:sz w:val="20"/>
          <w:szCs w:val="20"/>
          <w:color w:val="auto"/>
        </w:rPr>
      </w:pPr>
    </w:p>
    <w:p>
      <w:pPr>
        <w:ind w:right="440"/>
        <w:spacing w:after="0" w:line="291" w:lineRule="auto"/>
        <w:rPr>
          <w:sz w:val="20"/>
          <w:szCs w:val="20"/>
          <w:color w:val="auto"/>
        </w:rPr>
      </w:pPr>
      <w:r>
        <w:rPr>
          <w:rFonts w:ascii="Arial" w:cs="Arial" w:eastAsia="Arial" w:hAnsi="Arial"/>
          <w:sz w:val="18"/>
          <w:szCs w:val="18"/>
          <w:b w:val="1"/>
          <w:bCs w:val="1"/>
          <w:i w:val="1"/>
          <w:iCs w:val="1"/>
          <w:color w:val="auto"/>
        </w:rPr>
        <w:t>Information technology failures, cybersecurity incidents, or technology disruptions could have a material adverse effect on our operations.</w:t>
      </w:r>
    </w:p>
    <w:p>
      <w:pPr>
        <w:spacing w:after="0" w:line="19" w:lineRule="exact"/>
        <w:rPr>
          <w:sz w:val="20"/>
          <w:szCs w:val="20"/>
          <w:color w:val="auto"/>
        </w:rPr>
      </w:pPr>
    </w:p>
    <w:p>
      <w:pPr>
        <w:ind w:right="60" w:firstLine="402"/>
        <w:spacing w:after="0" w:line="273" w:lineRule="auto"/>
        <w:rPr>
          <w:sz w:val="20"/>
          <w:szCs w:val="20"/>
          <w:color w:val="auto"/>
        </w:rPr>
      </w:pPr>
      <w:r>
        <w:rPr>
          <w:rFonts w:ascii="Arial" w:cs="Arial" w:eastAsia="Arial" w:hAnsi="Arial"/>
          <w:sz w:val="17"/>
          <w:szCs w:val="17"/>
          <w:color w:val="auto"/>
        </w:rPr>
        <w:t>We rely on information systems to obtain, process, analyze, and manage data and critical financial activities, as well as to facilitate the manufacture and distribution of inventory to and from our facilities. We receive, process, and ship orders and manage our accounting and financial records, including invoicing and collecting from our customers and paying our vendors. We also manage our production processes with certain industrial control systems. Consequently, we are subject to cybersecurity risk. We face risks associated with network connectivity and systems for consolidated reporting. Technology failures or security breaches of our infrastructure, including our industrial control systems, could impede normal operations, create system disruptions, or create unauthorized disclosure or alteration of confidential information.</w:t>
      </w:r>
    </w:p>
    <w:p>
      <w:pPr>
        <w:spacing w:after="0" w:line="47"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From time to time, we have experienced immaterial cybersecurity threats and incidents. When these threats and incidents occur, we have taken appropriate remediation steps and, through investigation, determined that the threats or incidents did not have a material effect on our business, results of operations, or financial results. Although we are not aware of any material cybersecurity incidents, because of past immaterial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cybersecurity threats and what we have learned in responding to those threats, we have improved cybersecurity efforts, including stronger protective processes and controls.</w:t>
      </w:r>
    </w:p>
    <w:p>
      <w:pPr>
        <w:spacing w:after="0" w:line="23" w:lineRule="exact"/>
        <w:rPr>
          <w:sz w:val="20"/>
          <w:szCs w:val="20"/>
          <w:color w:val="auto"/>
        </w:rPr>
      </w:pPr>
    </w:p>
    <w:p>
      <w:pPr>
        <w:ind w:firstLine="402"/>
        <w:spacing w:after="0" w:line="268" w:lineRule="auto"/>
        <w:rPr>
          <w:sz w:val="20"/>
          <w:szCs w:val="20"/>
          <w:color w:val="auto"/>
        </w:rPr>
      </w:pPr>
      <w:r>
        <w:rPr>
          <w:rFonts w:ascii="Arial" w:cs="Arial" w:eastAsia="Arial" w:hAnsi="Arial"/>
          <w:sz w:val="17"/>
          <w:szCs w:val="17"/>
          <w:color w:val="auto"/>
        </w:rPr>
        <w:t>Although we have purchased broad form cyber insurance coverage and strive to provide a balanced level of cybersecurity protections, cybersecurity risk has increased due to growing sophistication of cybersecurity adversaries, as well as the increased frequency of cybersecurity attacks, including malware.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or bypass our detection capabilities, including those resulting from ransomware attached to our industrial control systems. If these systems are materially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 We may also be required to devote significant management resources and expend significant additional resources to address problems created by any such interruption, damage, or failure.</w:t>
      </w:r>
    </w:p>
    <w:p>
      <w:pPr>
        <w:spacing w:after="0" w:line="121" w:lineRule="exact"/>
        <w:rPr>
          <w:sz w:val="20"/>
          <w:szCs w:val="20"/>
          <w:color w:val="auto"/>
        </w:rPr>
      </w:pPr>
    </w:p>
    <w:p>
      <w:pPr>
        <w:ind w:right="520"/>
        <w:spacing w:after="0" w:line="291" w:lineRule="auto"/>
        <w:rPr>
          <w:sz w:val="20"/>
          <w:szCs w:val="20"/>
          <w:color w:val="auto"/>
        </w:rPr>
      </w:pPr>
      <w:r>
        <w:rPr>
          <w:rFonts w:ascii="Arial" w:cs="Arial" w:eastAsia="Arial" w:hAnsi="Arial"/>
          <w:sz w:val="18"/>
          <w:szCs w:val="18"/>
          <w:b w:val="1"/>
          <w:bCs w:val="1"/>
          <w:i w:val="1"/>
          <w:iCs w:val="1"/>
          <w:color w:val="auto"/>
        </w:rPr>
        <w:t>Challenges in managing the use of artificial intelligence could result in legal liability, reputational harm, competitive harm, and adversely affect our results of operations.</w:t>
      </w:r>
    </w:p>
    <w:p>
      <w:pPr>
        <w:spacing w:after="0" w:line="19" w:lineRule="exact"/>
        <w:rPr>
          <w:sz w:val="20"/>
          <w:szCs w:val="20"/>
          <w:color w:val="auto"/>
        </w:rPr>
      </w:pPr>
    </w:p>
    <w:p>
      <w:pPr>
        <w:ind w:firstLine="402"/>
        <w:spacing w:after="0" w:line="251" w:lineRule="auto"/>
        <w:rPr>
          <w:sz w:val="20"/>
          <w:szCs w:val="20"/>
          <w:color w:val="auto"/>
        </w:rPr>
      </w:pPr>
      <w:r>
        <w:rPr>
          <w:rFonts w:ascii="Arial" w:cs="Arial" w:eastAsia="Arial" w:hAnsi="Arial"/>
          <w:sz w:val="18"/>
          <w:szCs w:val="18"/>
          <w:color w:val="auto"/>
        </w:rPr>
        <w:t>We currently use artificial intelligence (AI) technologies, including those offered by third parties, on a limited basis, and take a measured approach to expansion of uses where it can create value. While we prohibit the use of unauthorized AI technologies, our employees may use AI in an unauthorized manner. While improper or unauthorized use of AI technologies increases the risk of exposing sensitive data, violating third-party intellectual property rights or privacy laws, the use of authorized AI also carries certain inherent risks, including inaccurate or biased responses, all of which could lead to errors in our business activities and harm our reputation. Our ability to mitigate these risks will depend on our continued effective maintenance, training, monitoring, and enforcement of appropriate policies governing the use of AI technologies, and the results of any such use, by us. The legal and regulatory landscape relating to AI and its use is uncertain and rapidly evolving. These evolving laws and regulations could require changes in our implementation of AI technology and increase our compliance costs and the risk of non-compliance. In addition, if we fail to adapt or are unable to deploy AI successfully, or if our competitors and other third parties adopt AI into their operations and processes more rapidly or effectively than us, we could be placed at a competitive disadvantage and our ability to compete could be negatively impacted. If any of these risks are realized, it could adversely impact our results of operations, cash flow, financial condition, and stock price.</w:t>
      </w:r>
    </w:p>
    <w:p>
      <w:pPr>
        <w:spacing w:after="0" w:line="2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Trade Risk Factors</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b w:val="1"/>
          <w:bCs w:val="1"/>
          <w:i w:val="1"/>
          <w:iCs w:val="1"/>
          <w:color w:val="auto"/>
        </w:rPr>
        <w:t>Tariffs by the United States and counter-tariffs by other countries could result in materially lower margins, lost sales, and an overall adverse effect on our results of operations.</w:t>
      </w:r>
    </w:p>
    <w:p>
      <w:pPr>
        <w:spacing w:after="0" w:line="5" w:lineRule="exact"/>
        <w:rPr>
          <w:sz w:val="20"/>
          <w:szCs w:val="20"/>
          <w:color w:val="auto"/>
        </w:rPr>
      </w:pPr>
    </w:p>
    <w:p>
      <w:pPr>
        <w:ind w:right="40" w:firstLine="643"/>
        <w:spacing w:after="0" w:line="259" w:lineRule="auto"/>
        <w:rPr>
          <w:sz w:val="20"/>
          <w:szCs w:val="20"/>
          <w:color w:val="auto"/>
        </w:rPr>
      </w:pPr>
      <w:r>
        <w:rPr>
          <w:rFonts w:ascii="Arial" w:cs="Arial" w:eastAsia="Arial" w:hAnsi="Arial"/>
          <w:sz w:val="18"/>
          <w:szCs w:val="18"/>
          <w:color w:val="auto"/>
        </w:rPr>
        <w:t>The United States has imposed, and could impose in the future, broad-ranging tariffs on imports. Certain tariffs imposed by the United States have been judicially invalidated by a recent Supreme Court ruling, but may be replaced under other statutory authority. In retaliation, many countries have imposed, and could impose in the future, counter-tariffs on U.S.-produced items. Tariffs have spurred, and could continue to spur, additional retaliatory moves by affected countries, including by Canada, China, India, and Mexico.</w:t>
      </w:r>
    </w:p>
    <w:p>
      <w:pPr>
        <w:spacing w:after="0" w:line="58" w:lineRule="exact"/>
        <w:rPr>
          <w:sz w:val="20"/>
          <w:szCs w:val="20"/>
          <w:color w:val="auto"/>
        </w:rPr>
      </w:pPr>
    </w:p>
    <w:p>
      <w:pPr>
        <w:ind w:right="60" w:firstLine="643"/>
        <w:spacing w:after="0" w:line="257" w:lineRule="auto"/>
        <w:rPr>
          <w:sz w:val="20"/>
          <w:szCs w:val="20"/>
          <w:color w:val="auto"/>
        </w:rPr>
      </w:pPr>
      <w:r>
        <w:rPr>
          <w:rFonts w:ascii="Arial" w:cs="Arial" w:eastAsia="Arial" w:hAnsi="Arial"/>
          <w:sz w:val="18"/>
          <w:szCs w:val="18"/>
          <w:color w:val="auto"/>
        </w:rPr>
        <w:t>We import into the United States various raw materials, components, or finished goods across all segments, with our Bedding Products and Furniture, Flooring &amp; Textile Products segments being the most impacted. We are indirectly impacted by tariffs when our customers import our products or sell their foreign-produced products containing our foreign-produced components from our Specialized Products and Furniture, Flooring &amp; Textile Products segments into the United States. We also export various products to countries outside the United States, some of which may be impacted by tariffs.</w:t>
      </w:r>
    </w:p>
    <w:p>
      <w:pPr>
        <w:spacing w:after="0" w:line="58"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We expect tariffs to present both positive and negative impacts across our businesses. It is possible that wide-ranging tariffs could drive inflation, weaken consumer confidence, and ultimately reduce consumer demand for our products and negatively impact our consolidated results of operations. Also, if we are unable to pass through additional costs created by current or new tariffs, it could result in materially lower margins, lost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and an overall adverse effect on our results of operations. Tariffs could also negatively impact our customers' demand for our products, as they may face significantly increased costs from importing our products or from selling their foreign-produced products containing our foreign-produced components into the United States. If tariffs are further invalidated, modified or expanded, additional tariffs are implemented, or our information is incorrect, our consolidated results of operations could be materially negatively impacted.</w:t>
      </w:r>
    </w:p>
    <w:p>
      <w:pPr>
        <w:spacing w:after="0" w:line="12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i w:val="1"/>
          <w:iCs w:val="1"/>
          <w:color w:val="auto"/>
        </w:rPr>
        <w:t>U.S. export controls against China could contribute to a global semiconductor shortage and negatively impact (i) our ability to manufacture and timely deliver our products, (ii) our OEM and Tier 1 customers’ production schedules, and (iii) the demand for our products.</w:t>
      </w:r>
    </w:p>
    <w:p>
      <w:pPr>
        <w:spacing w:after="0" w:line="26" w:lineRule="exact"/>
        <w:rPr>
          <w:sz w:val="20"/>
          <w:szCs w:val="20"/>
          <w:color w:val="auto"/>
        </w:rPr>
      </w:pPr>
    </w:p>
    <w:p>
      <w:pPr>
        <w:ind w:right="40" w:firstLine="402"/>
        <w:spacing w:after="0" w:line="251" w:lineRule="auto"/>
        <w:rPr>
          <w:sz w:val="20"/>
          <w:szCs w:val="20"/>
          <w:color w:val="auto"/>
        </w:rPr>
      </w:pPr>
      <w:r>
        <w:rPr>
          <w:rFonts w:ascii="Arial" w:cs="Arial" w:eastAsia="Arial" w:hAnsi="Arial"/>
          <w:sz w:val="18"/>
          <w:szCs w:val="18"/>
          <w:color w:val="auto"/>
        </w:rPr>
        <w:t>Our Automotive Group uses semiconductors in seat comfort products and, to a lesser extent, in motors and actuators. Our OEM and Tier 1 customers also use semiconductors, or components containing semiconductors, in their manufacture of automotive components and/or vehicles. According to certain market reports, China is a significant manufacturer of semiconductors. The U.S. government has imposed export controls regarding certain advanced semiconductor chips and semiconductor manufacturing equipment which restrict U.S. companies’ ability to export these products to China without a license. The Netherlands and Japan have also moved forward with more restrictive export controls related to specific equipment used for the manufacture of semiconductors. The controls may contribute to a global semiconductor shortage and negatively impact our ability to source an adequate supply of semiconductors used in our manufacturing processes. If so, any resulting shortage could endanger our ability to manufacture and timely deliver our products. It also could negatively impact our OEM and Tier 1 customers’ production schedules and the demand for our products. Additionally, China has imposed export controls on certain critical minerals used in semiconductors and may adopt additional retaliatory trade restrictions against U.S. companies. Such measures could affect not only our China-based operations, but also our operations in the United States and other regions. Any of these risks, if realized, could negatively impact our business, results of operations, and financial condition.</w:t>
      </w:r>
    </w:p>
    <w:p>
      <w:pPr>
        <w:spacing w:after="0" w:line="2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Regulatory Risk Factors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8"/>
          <w:szCs w:val="18"/>
          <w:b w:val="1"/>
          <w:bCs w:val="1"/>
          <w:i w:val="1"/>
          <w:iCs w:val="1"/>
          <w:color w:val="auto"/>
        </w:rPr>
        <w:t>Privacy and data protection regulations are complex and could harm our business, reputation, financial condition, and operating results.</w:t>
      </w:r>
    </w:p>
    <w:p>
      <w:pPr>
        <w:spacing w:after="0" w:line="19"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As a multinational company with personal data and business contact information from individuals in many countries, we are subject to numerous complex and evolving data protection laws. These include the federal and state-specific laws in the United States as well as the laws of other jurisdictions where we operate, such as those in Europe, China, India, and Brazil. If our operations are found to violate these broad-ranging data protection laws, we may incur substantial fines, face reputational harm, and be required to change our business practices, any of which could have an adverse effect on our business.</w:t>
      </w:r>
    </w:p>
    <w:p>
      <w:pPr>
        <w:spacing w:after="0" w:line="45"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As a U.S. company, the ability to manage aspects of our operation and workforce centrally and the ability to make decisions based on complete and accurate global data are important and require the ability to transfer and access personal data. The adequacy of the laws of the data-importing country are of increasing importance under various international laws. The validity of data transfer mechanisms remains subject to legal, regulatory, and political developments in many countries and could have an adverse impact on our ability to process and transfer personal data. This may inhibit our ability to transfer our employee personal data from our other operations, such as in Europe, China, and Brazil, to our headquarters in the United States or elsewhere, making it much more difficult to effectively manage our global human capital. These evolving privacy and data protection requirements create uncertainty and add compliance obligations that could harm our business, reputation, financial condition, and operating results.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Environmental regulatory compliance costs, additional potential related liabilities and climate change transition risks, including new treaties, laws, and regulations, could negatively impact our business, capital expenditures, compliance costs, results of operations, financial condition, competitive position, and reputation.</w:t>
      </w:r>
    </w:p>
    <w:p>
      <w:pPr>
        <w:spacing w:after="0" w:line="39" w:lineRule="exact"/>
        <w:rPr>
          <w:sz w:val="20"/>
          <w:szCs w:val="20"/>
          <w:color w:val="auto"/>
        </w:rPr>
      </w:pPr>
    </w:p>
    <w:p>
      <w:pPr>
        <w:jc w:val="both"/>
        <w:ind w:right="80" w:firstLine="402"/>
        <w:spacing w:after="0" w:line="265" w:lineRule="auto"/>
        <w:rPr>
          <w:sz w:val="20"/>
          <w:szCs w:val="20"/>
          <w:color w:val="auto"/>
        </w:rPr>
      </w:pPr>
      <w:r>
        <w:rPr>
          <w:rFonts w:ascii="Arial" w:cs="Arial" w:eastAsia="Arial" w:hAnsi="Arial"/>
          <w:sz w:val="18"/>
          <w:szCs w:val="18"/>
          <w:color w:val="auto"/>
        </w:rPr>
        <w:t>Increased focus by the United States and other governmental authorities on climate change and other environmental matters has led to enhanced regulation in these areas, which is expected to result in increased compliance costs and could subject us to potential liabilities. The extent of these costs and risks is difficult to</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predict and will depend, in large part, on the extent of final regulations and the ways in which those regulations are enforced.</w:t>
      </w:r>
    </w:p>
    <w:p>
      <w:pPr>
        <w:spacing w:after="0" w:line="88" w:lineRule="exact"/>
        <w:rPr>
          <w:sz w:val="20"/>
          <w:szCs w:val="20"/>
          <w:color w:val="auto"/>
        </w:rPr>
      </w:pPr>
    </w:p>
    <w:p>
      <w:pPr>
        <w:ind w:right="80" w:firstLine="402"/>
        <w:spacing w:after="0" w:line="253" w:lineRule="auto"/>
        <w:rPr>
          <w:sz w:val="20"/>
          <w:szCs w:val="20"/>
          <w:color w:val="auto"/>
        </w:rPr>
      </w:pPr>
      <w:r>
        <w:rPr>
          <w:rFonts w:ascii="Arial" w:cs="Arial" w:eastAsia="Arial" w:hAnsi="Arial"/>
          <w:sz w:val="18"/>
          <w:szCs w:val="18"/>
          <w:color w:val="auto"/>
        </w:rPr>
        <w:t>As of December 31, 2025, we had 104 manufacturing facilities in 18 countries, primarily in North America, Europe, and Asia. Most of our facilities are engaged in manufacturing processes that produce GHG emissions, including carbon dioxide. We also maintain a fleet of over-the-road tractor trailers that emit GHG emissions when providing freight services to many of our U.S.-based manufacturing locations. Certain transition risks, or risks related to the process of reducing our carbon footprint, could materially affect our business, capital expenditures, results of operations, financial condition, competitive position, and reputation. One transition risk is the change in laws, regulations, and policies that could impose significant operational and compliance burdens. Also, if our customers incur additional costs to comply with such laws, regulations, and policies, impacting their ability to operate at the same or similar levels, the demand for our products could be adversely affected.</w:t>
      </w:r>
    </w:p>
    <w:p>
      <w:pPr>
        <w:spacing w:after="0" w:line="64" w:lineRule="exact"/>
        <w:rPr>
          <w:sz w:val="20"/>
          <w:szCs w:val="20"/>
          <w:color w:val="auto"/>
        </w:rPr>
      </w:pPr>
    </w:p>
    <w:p>
      <w:pPr>
        <w:ind w:right="60" w:firstLine="402"/>
        <w:spacing w:after="0" w:line="270" w:lineRule="auto"/>
        <w:rPr>
          <w:sz w:val="20"/>
          <w:szCs w:val="20"/>
          <w:color w:val="auto"/>
        </w:rPr>
      </w:pPr>
      <w:r>
        <w:rPr>
          <w:rFonts w:ascii="Arial" w:cs="Arial" w:eastAsia="Arial" w:hAnsi="Arial"/>
          <w:sz w:val="17"/>
          <w:szCs w:val="17"/>
          <w:color w:val="auto"/>
        </w:rPr>
        <w:t>In addition, overall, there continues to be a lack of consistent climate legislation in the jurisdictions in which we operate, which creates economic and regulatory uncertainty. If these laws or regulations impose significant operational restrictions and compliance requirements on us, they could increase costs associated with our operations, including costs for raw materials and transportation. Non-compliance with climate change treaties or legislative and regulatory requirements could also lead to significant fines and penalties and negatively impact our reputation. To date, we have not experienced a material impact from such legislative and regulatory efforts. The ultimate impact and associated cost of these legislative and regulatory developments cannot be predicted at this time. In addition, we have developed preliminary estimates of the capital expenditures or operating and administrative costs that may be required to implement our GHG reduction strategy, and these costs and expenses are not expected to materially impact our results of operation, cash flow from operations, or financial condition.</w:t>
      </w:r>
    </w:p>
    <w:p>
      <w:pPr>
        <w:spacing w:after="0" w:line="119" w:lineRule="exact"/>
        <w:rPr>
          <w:sz w:val="20"/>
          <w:szCs w:val="20"/>
          <w:color w:val="auto"/>
        </w:rPr>
      </w:pPr>
    </w:p>
    <w:p>
      <w:pPr>
        <w:jc w:val="both"/>
        <w:ind w:right="360"/>
        <w:spacing w:after="0" w:line="269" w:lineRule="auto"/>
        <w:rPr>
          <w:sz w:val="20"/>
          <w:szCs w:val="20"/>
          <w:color w:val="auto"/>
        </w:rPr>
      </w:pPr>
      <w:r>
        <w:rPr>
          <w:rFonts w:ascii="Arial" w:cs="Arial" w:eastAsia="Arial" w:hAnsi="Arial"/>
          <w:sz w:val="18"/>
          <w:szCs w:val="18"/>
          <w:b w:val="1"/>
          <w:bCs w:val="1"/>
          <w:i w:val="1"/>
          <w:iCs w:val="1"/>
          <w:color w:val="auto"/>
        </w:rPr>
        <w:t>Increased scrutiny from stakeholders regarding our sustainability responsibilities and financial performance could expose us to additional costs or risks, including, but not limited to, shareholder activism, and could adversely impact our liquidity, results of operations, reputation, employee retention, and stock price.</w:t>
      </w:r>
    </w:p>
    <w:p>
      <w:pPr>
        <w:spacing w:after="0" w:line="39" w:lineRule="exact"/>
        <w:rPr>
          <w:sz w:val="20"/>
          <w:szCs w:val="20"/>
          <w:color w:val="auto"/>
        </w:rPr>
      </w:pPr>
    </w:p>
    <w:p>
      <w:pPr>
        <w:ind w:right="120" w:firstLine="402"/>
        <w:spacing w:after="0" w:line="273" w:lineRule="auto"/>
        <w:rPr>
          <w:sz w:val="20"/>
          <w:szCs w:val="20"/>
          <w:color w:val="auto"/>
        </w:rPr>
      </w:pPr>
      <w:r>
        <w:rPr>
          <w:rFonts w:ascii="Arial" w:cs="Arial" w:eastAsia="Arial" w:hAnsi="Arial"/>
          <w:sz w:val="17"/>
          <w:szCs w:val="17"/>
          <w:color w:val="auto"/>
        </w:rPr>
        <w:t>Investor advocacy groups, certain institutional investors, investment funds, lenders, market participants, shareholders, customers, and other stakeholders have increasingly focused on the sustainability practices of companies. These parties have placed increased importance on the social cost implications of their investments. If our sustainability practices do not meet these stakeholder expectations and standards, which continue to evolve, our access to capital may be negatively impacted based on an assessment of our sustainability practices. These limitations, in both the debt and equity markets, may materially negatively affect our ability to manage our liquidity, refinance existing debt, grow our businesses, and implement our strategies, as well as adversely impact our results of operations and the price of our common stock.</w:t>
      </w:r>
    </w:p>
    <w:p>
      <w:pPr>
        <w:spacing w:after="0" w:line="33" w:lineRule="exact"/>
        <w:rPr>
          <w:sz w:val="20"/>
          <w:szCs w:val="20"/>
          <w:color w:val="auto"/>
        </w:rPr>
      </w:pPr>
    </w:p>
    <w:p>
      <w:pPr>
        <w:ind w:right="60" w:firstLine="402"/>
        <w:spacing w:after="0" w:line="269" w:lineRule="auto"/>
        <w:rPr>
          <w:sz w:val="20"/>
          <w:szCs w:val="20"/>
          <w:color w:val="auto"/>
        </w:rPr>
      </w:pPr>
      <w:r>
        <w:rPr>
          <w:rFonts w:ascii="Arial" w:cs="Arial" w:eastAsia="Arial" w:hAnsi="Arial"/>
          <w:sz w:val="17"/>
          <w:szCs w:val="17"/>
          <w:color w:val="auto"/>
        </w:rPr>
        <w:t>Our Sustainability Progress Report details how we seek to manage our operations responsibly and ethically. It includes our sustainability policies and practices on a variety of matters, including, but not limited to, Board and management sustainability oversight, governance and ethics, environmental sustainability, greenhouse gas emissions reduction, employee health, safety, product stewardship, quality and safety management, and supply chain social standards and compliance. The Board’s Nominating, Governance and Sustainability Committee oversees our sustainability programs and related risks. However, it is possible that stakeholders may not be satisfied with our sustainability practices or the speed of their adoption. We could also incur additional costs and require more resources to monitor, report, and comply with various sustainability practices. Furthermore, our failure, or perceived failure, to meet the standards set forth in the Sustainability Progress Report could negatively impact our reputation, employee retention, and the willingness of our customers and suppliers to do business with us. Our Sustainability Progress Report can be found at www.leggett.com. Our website does not constitute part of this Form 10-K.</w:t>
      </w:r>
    </w:p>
    <w:p>
      <w:pPr>
        <w:spacing w:after="0" w:line="52"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Publicly traded companies are increasingly subject to campaigns by activist shareholders regarding sustainability and other financial matters. The actions of activist shareholders may cause fluctuations in our stock price based upon speculation about our future. Such speculation can harm relationships with investors, customers, suppliers, and employees and can be costly and time consuming, disrupting our business and diverting the attention of our Board of Directors and management from pursuing our business strategies. In addition, decreases in our stock price make us more susceptible to unwarranted shareholder activism. Shareholder activism could adversely affect our business, results of operations, and stock price.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b w:val="1"/>
          <w:bCs w:val="1"/>
          <w:i w:val="1"/>
          <w:iCs w:val="1"/>
          <w:color w:val="auto"/>
        </w:rPr>
        <w:t>Changes in tax laws or challenges to our tax positions pursuant to ongoing tax reviews and/or audits could negatively impact our earnings and cash flows.</w:t>
      </w:r>
    </w:p>
    <w:p>
      <w:pPr>
        <w:spacing w:after="0" w:line="5"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We are subject to the tax laws and reporting rules of the United States (federal, state, and local) and several foreign jurisdictions. Current economic and political conditions make these tax rules (and governmental interpretation of these rules) subject to significant change and uncertainty. There are proposals by the Organization for Economic Co-operation and Development, the European Union, and other tax jurisdictions, some of which have already been adopted in various countries, to reform tax laws or change interpretations of existing tax rules. These proposals generally center around global base erosion and profit shifting (BEPS) concepts, and, as they are adopted, could continue to impact how our earnings and transactions are taxed as a multinational corporation. Whether, or in what form, these proposals become law in various countries around the world, or how such laws might be interpreted, could impact our assumptions related to the taxation of certain foreign earnings and have an adverse effect on our earnings and cash flows.</w:t>
      </w:r>
    </w:p>
    <w:p>
      <w:pPr>
        <w:spacing w:after="0" w:line="64"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We are subject to reviews and/or audits by taxing authorities in the countries where we operate and are currently in various stages of examination in several jurisdictions. China has recently intensified its review of tax compliance among foreign enterprises. We underwent reviews in 2023 and 2024 resulting in no material findings, while in 2025 and early 2026, we have seen an increased number of these reviews initiated by Chinese tax authorities.</w:t>
      </w:r>
    </w:p>
    <w:p>
      <w:pPr>
        <w:spacing w:after="0" w:line="58"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Although the outcome is uncertain, we believe we have valid defenses and intend to rigorously contest the reviews initiated by the China authorities and have not recorded any impact associated with these matters. We have established liabilities for other matters we believe are appropriate, with such amounts representing what we believe is a reasonable provision for taxes that we ultimately might be required to pay. However, our exposure could increase over time as more information becomes known relative to the resolution of these reviews and/or audits, as governmental tax positions may be sustained, or we may agree to certain tax adjustments. We could incur additional tax expense if we have adjustments higher than the liabilities recorded that could have a material negative effect on our results of operations or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Legal Risk Factors</w:t>
      </w:r>
    </w:p>
    <w:p>
      <w:pPr>
        <w:spacing w:after="0" w:line="184"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b w:val="1"/>
          <w:bCs w:val="1"/>
          <w:i w:val="1"/>
          <w:iCs w:val="1"/>
          <w:color w:val="auto"/>
        </w:rPr>
        <w:t>We are exposed to legal contingencies that, if realized, could have a material negative impact on our financial condition, results of operations, and cash flows.</w:t>
      </w:r>
    </w:p>
    <w:p>
      <w:pPr>
        <w:spacing w:after="0" w:line="19"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 xml:space="preserve">Although we deny liability in all currently threatened or pending legal proceedings, we have recorded an immaterial aggregate contingency accrual at December 31, 2025. Based on current known facts, aggregate reasonably possible (but not probable, and therefore not accrued) losses in excess of the accruals for legal contingencies are estimated to be $26 million. If our assumptions or analyses regarding any of our contingencies are incorrect, or if facts change or future litigation arises, we could realize losses in excess of the recorded accruals (including losses in excess of the $26 million referenced above), which could have a material negative impact on our financial condition, results of operations, and cash flows. For more information regarding our legal contingencies, please see </w:t>
      </w:r>
      <w:r>
        <w:rPr>
          <w:rFonts w:ascii="Arial" w:cs="Arial" w:eastAsia="Arial" w:hAnsi="Arial"/>
          <w:sz w:val="18"/>
          <w:szCs w:val="18"/>
          <w:u w:val="single" w:color="auto"/>
          <w:color w:val="0000FF"/>
        </w:rPr>
        <w:t>Item 3 Legal Proceedings</w:t>
      </w:r>
      <w:r>
        <w:rPr>
          <w:rFonts w:ascii="Arial" w:cs="Arial" w:eastAsia="Arial" w:hAnsi="Arial"/>
          <w:sz w:val="18"/>
          <w:szCs w:val="18"/>
          <w:color w:val="auto"/>
        </w:rPr>
        <w:t xml:space="preserve"> on page 30 and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122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-169545</wp:posOffset>
            </wp:positionV>
            <wp:extent cx="31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1C. Cybersecurity.</w:t>
      </w:r>
    </w:p>
    <w:p>
      <w:pPr>
        <w:spacing w:after="0" w:line="120"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w:t>
      </w:r>
    </w:p>
    <w:p>
      <w:pPr>
        <w:spacing w:after="0" w:line="45" w:lineRule="exact"/>
        <w:rPr>
          <w:sz w:val="20"/>
          <w:szCs w:val="20"/>
          <w:color w:val="auto"/>
        </w:rPr>
      </w:pPr>
    </w:p>
    <w:p>
      <w:pPr>
        <w:ind w:right="800" w:firstLine="402"/>
        <w:spacing w:after="0" w:line="282" w:lineRule="auto"/>
        <w:rPr>
          <w:sz w:val="20"/>
          <w:szCs w:val="20"/>
          <w:color w:val="auto"/>
        </w:rPr>
      </w:pPr>
      <w:r>
        <w:rPr>
          <w:rFonts w:ascii="Arial" w:cs="Arial" w:eastAsia="Arial" w:hAnsi="Arial"/>
          <w:sz w:val="18"/>
          <w:szCs w:val="18"/>
          <w:color w:val="auto"/>
        </w:rPr>
        <w:t>From time to time, we have experienced immaterial cybersecurity threats and incidents. When these threats and incidents have occurred, we have taken appropriate remediation steps and, through investigation,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determined that the threats or incidents did not have a material effect on our business, results of operations, or financial results.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Cybersecurity Risk Management and Strategy</w:t>
      </w:r>
    </w:p>
    <w:p>
      <w:pPr>
        <w:spacing w:after="0" w:line="101"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We have processes in place for assessing, identifying, and managing material risks from cybersecurity threats and incidents, which is based on industry-recognized frameworks and takes a multifaceted approach to protecting our network, systems, and data, including personal information. To prevent cybersecurity incidents, we deploy a wide range of protective security technologies and tools, including, but not limited to, encryption, firewalls, endpoint detection and response, security information and event management, multi -factor authentication, and threat intelligence feeds. To maintain the effectiveness of this framework, we conduct periodic real-world simulation exercises to test, educate, promote awareness, and identify any refinements needed.</w:t>
      </w:r>
    </w:p>
    <w:p>
      <w:pPr>
        <w:spacing w:after="0" w:line="61" w:lineRule="exact"/>
        <w:rPr>
          <w:sz w:val="20"/>
          <w:szCs w:val="20"/>
          <w:color w:val="auto"/>
        </w:rPr>
      </w:pPr>
    </w:p>
    <w:p>
      <w:pPr>
        <w:ind w:right="40" w:firstLine="402"/>
        <w:spacing w:after="0" w:line="252" w:lineRule="auto"/>
        <w:rPr>
          <w:sz w:val="20"/>
          <w:szCs w:val="20"/>
          <w:color w:val="auto"/>
        </w:rPr>
      </w:pPr>
      <w:r>
        <w:rPr>
          <w:rFonts w:ascii="Arial" w:cs="Arial" w:eastAsia="Arial" w:hAnsi="Arial"/>
          <w:sz w:val="18"/>
          <w:szCs w:val="18"/>
          <w:color w:val="auto"/>
        </w:rPr>
        <w:t>Cybersecurity threats are identified, assessed, and monitored by our Security Operations Center, which is staffed with cybersecurity professionals who report to the Senior Cyber Security Operations Manager who reports directly to the Company's Chief Information Security Officer (CISO), and includes resources provided by external vendors to cover continuous monitoring and remediation. When a cybersecurity threat or incident meets certain categorized thresholds, as determined by our Cybersecurity Incident Response Plan, we follow an escalation review process which can result in our CISO forwarding the threat or incident to our cybersecurity crisis response team consisting of our CEO, CFO, CHRO, CIO, and General Counsel (the "Crisis Response Team"). Our CISO and the Crisis Response Team, pursuant to guidance from our CISO, assess and manage our response to cybersecurity threats and incidents. Our CISO follows a risk-based escalation process to notify our General Counsel of certain cybersecurity threats and incidents, and our General Counsel analyzes our obligation to report any incident publicly. If the General Counsel determines disclosure is warranted, she reports this conclusion to the CISO, the Crisis Response Team, and the Company's Public Disclosure Committee for consideration and disclosure.</w:t>
      </w:r>
    </w:p>
    <w:p>
      <w:pPr>
        <w:spacing w:after="0" w:line="52" w:lineRule="exact"/>
        <w:rPr>
          <w:sz w:val="20"/>
          <w:szCs w:val="20"/>
          <w:color w:val="auto"/>
        </w:rPr>
      </w:pPr>
    </w:p>
    <w:p>
      <w:pPr>
        <w:ind w:right="420" w:firstLine="402"/>
        <w:spacing w:after="0" w:line="259" w:lineRule="auto"/>
        <w:rPr>
          <w:sz w:val="20"/>
          <w:szCs w:val="20"/>
          <w:color w:val="auto"/>
        </w:rPr>
      </w:pPr>
      <w:r>
        <w:rPr>
          <w:rFonts w:ascii="Arial" w:cs="Arial" w:eastAsia="Arial" w:hAnsi="Arial"/>
          <w:sz w:val="18"/>
          <w:szCs w:val="18"/>
          <w:color w:val="auto"/>
        </w:rPr>
        <w:t>We have integrated cybersecurity risk into our overall enterprise risk management (ERM) process. Pursuant to the ERM process, cybersecurity risk is evaluated for likelihood, significance, and velocity on a semiannual basis by designated risk owners. The risk owners consist of a cross-functional group of leaders, led by our CISO. Based on the ERM analysis, we adjust, if necessary, our process for the identification, assessment, and monitoring of cybersecurity threats and incidents.</w:t>
      </w:r>
    </w:p>
    <w:p>
      <w:pPr>
        <w:spacing w:after="0" w:line="58"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We engage third parties in connection with our cybersecurity identification, assessment, and response processes, including to periodically benchmark our cybersecurity program against the National Institute of Standards and Technology’s Cybersecurity Framework. We also maintain active retainers with certain third parties that can be engaged in the event of a cybersecurity threat or incident. We have established a process to oversee and identify risks and cybersecurity threats associated with our third-party service providers, which includes the use of monitoring technology. We also survey certain third-party providers regarding their security controls.</w:t>
      </w:r>
    </w:p>
    <w:p>
      <w:pPr>
        <w:spacing w:after="0" w:line="58" w:lineRule="exact"/>
        <w:rPr>
          <w:sz w:val="20"/>
          <w:szCs w:val="20"/>
          <w:color w:val="auto"/>
        </w:rPr>
      </w:pPr>
    </w:p>
    <w:p>
      <w:pPr>
        <w:ind w:right="100" w:firstLine="402"/>
        <w:spacing w:after="0" w:line="254" w:lineRule="auto"/>
        <w:rPr>
          <w:sz w:val="20"/>
          <w:szCs w:val="20"/>
          <w:color w:val="auto"/>
        </w:rPr>
      </w:pPr>
      <w:r>
        <w:rPr>
          <w:rFonts w:ascii="Arial" w:cs="Arial" w:eastAsia="Arial" w:hAnsi="Arial"/>
          <w:sz w:val="18"/>
          <w:szCs w:val="18"/>
          <w:color w:val="auto"/>
        </w:rPr>
        <w:t xml:space="preserve">Although we have not experienced any material cybersecurity incidents, because of past immaterial cybersecurity threats and incidents, and what we have learned in responding to those threats, we have increased our cybersecurity program-enhancement efforts, including stronger protective controls. As of the date of this report, we are not aware of any risks from cybersecurity threats, including as a result of any previous cybersecurity incidents, that have materially affected us, including our business strategy, results of operations, or financial condition. However, for a discussion of risks from cybersecurity threats that could materially affect our business strategy, results of operations, or financial condition, see </w:t>
      </w:r>
      <w:r>
        <w:rPr>
          <w:rFonts w:ascii="Arial" w:cs="Arial" w:eastAsia="Arial" w:hAnsi="Arial"/>
          <w:sz w:val="18"/>
          <w:szCs w:val="18"/>
          <w:u w:val="single" w:color="auto"/>
          <w:color w:val="0000FF"/>
        </w:rPr>
        <w:t>Item 1A. Risk Factors - Information technology failures, cybersecurity incidents, or new technology disruptions could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have a material adverse effect on our operations</w:t>
      </w:r>
      <w:r>
        <w:rPr>
          <w:rFonts w:ascii="Arial" w:cs="Arial" w:eastAsia="Arial" w:hAnsi="Arial"/>
          <w:sz w:val="18"/>
          <w:szCs w:val="18"/>
          <w:color w:val="0000FF"/>
        </w:rPr>
        <w:t xml:space="preserve"> </w:t>
      </w:r>
      <w:r>
        <w:rPr>
          <w:rFonts w:ascii="Arial" w:cs="Arial" w:eastAsia="Arial" w:hAnsi="Arial"/>
          <w:sz w:val="18"/>
          <w:szCs w:val="18"/>
          <w:color w:val="000000"/>
        </w:rPr>
        <w:t>on page 22, which is incorporated by reference into this Item 1C.</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Cybersecurity Governance</w:t>
      </w:r>
    </w:p>
    <w:p>
      <w:pPr>
        <w:spacing w:after="0" w:line="101"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Our Board has oversight of all cybersecurity threats and incidents. On a quarterly basis, and more often if warranted, the Company's CIO, or the CFO in coordination with the CIO, each after consultation with the CISO, reports to the full Board any potentially material cybersecurity threat or incident and our activities monitoring the prevention, detection, mitigation, and remediation of cybersecurity threats and incidents.</w:t>
      </w:r>
    </w:p>
    <w:p>
      <w:pPr>
        <w:spacing w:after="0" w:line="58" w:lineRule="exact"/>
        <w:rPr>
          <w:sz w:val="20"/>
          <w:szCs w:val="20"/>
          <w:color w:val="auto"/>
        </w:rPr>
      </w:pPr>
    </w:p>
    <w:p>
      <w:pPr>
        <w:ind w:right="300" w:firstLine="402"/>
        <w:spacing w:after="0" w:line="265" w:lineRule="auto"/>
        <w:rPr>
          <w:sz w:val="20"/>
          <w:szCs w:val="20"/>
          <w:color w:val="auto"/>
        </w:rPr>
      </w:pPr>
      <w:r>
        <w:rPr>
          <w:rFonts w:ascii="Arial" w:cs="Arial" w:eastAsia="Arial" w:hAnsi="Arial"/>
          <w:sz w:val="18"/>
          <w:szCs w:val="18"/>
          <w:color w:val="auto"/>
        </w:rPr>
        <w:t xml:space="preserve">Our CISO and the Crisis Response Team, pursuant to guidance from our CISO, assess, identify, and manage material risks from cybersecurity threats and incidents, as described above under </w:t>
      </w:r>
      <w:r>
        <w:rPr>
          <w:rFonts w:ascii="Arial" w:cs="Arial" w:eastAsia="Arial" w:hAnsi="Arial"/>
          <w:sz w:val="18"/>
          <w:szCs w:val="18"/>
          <w:u w:val="single" w:color="auto"/>
          <w:color w:val="0000FF"/>
        </w:rPr>
        <w:t>Cybersecurity Risk Management and Strategy</w:t>
      </w:r>
      <w:r>
        <w:rPr>
          <w:rFonts w:ascii="Arial" w:cs="Arial" w:eastAsia="Arial" w:hAnsi="Arial"/>
          <w:sz w:val="18"/>
          <w:szCs w:val="18"/>
          <w:color w:val="auto"/>
        </w:rPr>
        <w:t>. The CISO has served in this role since October 2024, and has over 20 years of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professional experience in identifying, evaluating, and responding to cybersecurity threats and incidents. Our CISO holds a Bachelor of Science degree from DeVry University, Addison, Illinois, a Masters in Business Administration from Western Governors University, is a Certified Information Systems Security Professional (CISSP), a GIAC Certified Incident Handler (GCIH), and holds a GIAC Certification in Strategic Planning, Policy and Leadership. Members of the Crisis Response Team have extensive work experience in systems and programming, auditing, compliance and privacy laws, financial controls and procedures, and operations management. With the assistance of the CISO, along with our internal cybersecurity and information technology professionals and our third-party cybersecurity consultants and advisors, the Crisis Response Team is charged with the responsibility of preventing, detecting, mitigating, and remediating cybersecurity threats and incidents.</w:t>
      </w:r>
    </w:p>
    <w:p>
      <w:pPr>
        <w:spacing w:after="0" w:line="51" w:lineRule="exact"/>
        <w:rPr>
          <w:sz w:val="20"/>
          <w:szCs w:val="20"/>
          <w:color w:val="auto"/>
        </w:rPr>
      </w:pPr>
    </w:p>
    <w:p>
      <w:pPr>
        <w:ind w:firstLine="402"/>
        <w:spacing w:after="0" w:line="268" w:lineRule="auto"/>
        <w:rPr>
          <w:sz w:val="20"/>
          <w:szCs w:val="20"/>
          <w:color w:val="auto"/>
        </w:rPr>
      </w:pPr>
      <w:r>
        <w:rPr>
          <w:rFonts w:ascii="Arial" w:cs="Arial" w:eastAsia="Arial" w:hAnsi="Arial"/>
          <w:sz w:val="17"/>
          <w:szCs w:val="17"/>
          <w:color w:val="auto"/>
        </w:rPr>
        <w:t>Although we have purchased broad form cyber insurance coverage and strive to provide a balanced level of cybersecurity protections, cybersecurity risk has increased due to growing sophistication of cybersecurity adversaries, as well as the increased frequency of cybersecurity attacks, including malware.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technology protecting information systems or bypass our detection capabilities, including those resulting from ransomware attached to our industrial control systems. If these systems are materially interrupted or damaged by any incident or fail for any extended period of time, then our results of operations could be adversely affected. We may incur remediation costs, increased cybersecurity protection costs, ransom payments, lost revenues resulting from unauthorized use of proprietary information, litigation and legal costs, increased insurance premiums, reputational damage, damage to our competitiveness, and negative impact on our stock price and long-term shareholder value. We may also be required to devote significant management resources and expend significant additional resources to address problems created by any such interruption, damage, or failure.</w:t>
      </w:r>
    </w:p>
    <w:p>
      <w:pPr>
        <w:spacing w:after="0" w:line="52" w:lineRule="exact"/>
        <w:rPr>
          <w:sz w:val="20"/>
          <w:szCs w:val="20"/>
          <w:color w:val="auto"/>
        </w:rPr>
      </w:pPr>
    </w:p>
    <w:p>
      <w:pPr>
        <w:ind w:right="540" w:firstLine="402"/>
        <w:spacing w:after="0" w:line="282" w:lineRule="auto"/>
        <w:rPr>
          <w:sz w:val="20"/>
          <w:szCs w:val="20"/>
          <w:color w:val="auto"/>
        </w:rPr>
      </w:pPr>
      <w:r>
        <w:rPr>
          <w:rFonts w:ascii="Arial" w:cs="Arial" w:eastAsia="Arial" w:hAnsi="Arial"/>
          <w:sz w:val="18"/>
          <w:szCs w:val="18"/>
          <w:color w:val="auto"/>
        </w:rPr>
        <w:t xml:space="preserve">For more information regarding cybersecurity risks, refer to </w:t>
      </w:r>
      <w:r>
        <w:rPr>
          <w:rFonts w:ascii="Arial" w:cs="Arial" w:eastAsia="Arial" w:hAnsi="Arial"/>
          <w:sz w:val="18"/>
          <w:szCs w:val="18"/>
          <w:u w:val="single" w:color="auto"/>
          <w:color w:val="0000FF"/>
        </w:rPr>
        <w:t>Item 1A. Risk Factors - Information Technology and Cybersecurity Risk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Factors</w:t>
      </w:r>
      <w:r>
        <w:rPr>
          <w:rFonts w:ascii="Arial" w:cs="Arial" w:eastAsia="Arial" w:hAnsi="Arial"/>
          <w:sz w:val="18"/>
          <w:szCs w:val="18"/>
          <w:color w:val="0000FF"/>
        </w:rPr>
        <w:t xml:space="preserve"> </w:t>
      </w:r>
      <w:r>
        <w:rPr>
          <w:rFonts w:ascii="Arial" w:cs="Arial" w:eastAsia="Arial" w:hAnsi="Arial"/>
          <w:sz w:val="18"/>
          <w:szCs w:val="18"/>
          <w:color w:val="000000"/>
        </w:rPr>
        <w:t>on page 22.</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107"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Our corporate office is located in Carthage, Missouri. As of December 31, 2025, we had 104 manufacturing locations in 18 countries, of which 61 were located across the United States and 43 were located in foreign countries. We also had various sales, warehouse, and administrative facilities. However, our manufacturing plants are our most important properties.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by Segment</w:t>
      </w:r>
    </w:p>
    <w:p>
      <w:pPr>
        <w:spacing w:after="0" w:line="67" w:lineRule="exact"/>
        <w:rPr>
          <w:sz w:val="20"/>
          <w:szCs w:val="20"/>
          <w:color w:val="auto"/>
        </w:rPr>
      </w:pPr>
    </w:p>
    <w:tbl>
      <w:tblPr>
        <w:tblLayout w:type="fixed"/>
        <w:tblInd w:w="1040" w:type="dxa"/>
        <w:tblCellMar>
          <w:top w:w="0" w:type="dxa"/>
          <w:left w:w="0" w:type="dxa"/>
          <w:bottom w:w="0" w:type="dxa"/>
          <w:right w:w="0" w:type="dxa"/>
        </w:tblCellMar>
      </w:tblPr>
      <w:tr>
        <w:trPr>
          <w:trHeight w:val="214"/>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Furniture,</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Manufacturing Locations</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Company-</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Bedding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Specialized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8"/>
              </w:rPr>
              <w:t>Textile</w:t>
            </w:r>
          </w:p>
        </w:tc>
        <w:tc>
          <w:tcPr>
            <w:tcW w:w="0" w:type="dxa"/>
            <w:vAlign w:val="bottom"/>
          </w:tcPr>
          <w:p>
            <w:pPr>
              <w:spacing w:after="0"/>
              <w:rPr>
                <w:sz w:val="1"/>
                <w:szCs w:val="1"/>
                <w:color w:val="auto"/>
              </w:rPr>
            </w:pPr>
          </w:p>
        </w:tc>
      </w:tr>
      <w:tr>
        <w:trPr>
          <w:trHeight w:val="233"/>
        </w:trPr>
        <w:tc>
          <w:tcPr>
            <w:tcW w:w="3040" w:type="dxa"/>
            <w:vAlign w:val="bottom"/>
            <w:gridSpan w:val="2"/>
            <w:vMerge w:val="continue"/>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Wide</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Products</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Products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Products</w:t>
            </w:r>
          </w:p>
        </w:tc>
        <w:tc>
          <w:tcPr>
            <w:tcW w:w="0" w:type="dxa"/>
            <w:vAlign w:val="bottom"/>
          </w:tcPr>
          <w:p>
            <w:pPr>
              <w:spacing w:after="0"/>
              <w:rPr>
                <w:sz w:val="1"/>
                <w:szCs w:val="1"/>
                <w:color w:val="auto"/>
              </w:rPr>
            </w:pPr>
          </w:p>
        </w:tc>
      </w:tr>
      <w:tr>
        <w:trPr>
          <w:trHeight w:val="221"/>
        </w:trPr>
        <w:tc>
          <w:tcPr>
            <w:tcW w:w="28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China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3040" w:type="dxa"/>
            <w:vAlign w:val="bottom"/>
            <w:gridSpan w:val="2"/>
          </w:tcPr>
          <w:p>
            <w:pPr>
              <w:ind w:left="60"/>
              <w:spacing w:after="0"/>
              <w:rPr>
                <w:sz w:val="20"/>
                <w:szCs w:val="20"/>
                <w:color w:val="auto"/>
              </w:rPr>
            </w:pPr>
            <w:r>
              <w:rPr>
                <w:rFonts w:ascii="Arial" w:cs="Arial" w:eastAsia="Arial" w:hAnsi="Arial"/>
                <w:sz w:val="18"/>
                <w:szCs w:val="18"/>
                <w:color w:val="auto"/>
              </w:rPr>
              <w:t>Canada</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Mexico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0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3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 xml:space="preserve">For more information regarding the geographic location of our manufacturing facilities refer to </w:t>
      </w:r>
      <w:r>
        <w:rPr>
          <w:rFonts w:ascii="Arial" w:cs="Arial" w:eastAsia="Arial" w:hAnsi="Arial"/>
          <w:sz w:val="18"/>
          <w:szCs w:val="18"/>
          <w:u w:val="single" w:color="auto"/>
          <w:color w:val="0000FF"/>
        </w:rPr>
        <w:t>Geographic Areas of Operation</w:t>
      </w:r>
      <w:r>
        <w:rPr>
          <w:rFonts w:ascii="Arial" w:cs="Arial" w:eastAsia="Arial" w:hAnsi="Arial"/>
          <w:sz w:val="18"/>
          <w:szCs w:val="18"/>
          <w:color w:val="auto"/>
        </w:rPr>
        <w:t xml:space="preserve"> under Item 1. Business on page 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Locations Owned or Leased by Segment</w:t>
      </w:r>
    </w:p>
    <w:p>
      <w:pPr>
        <w:spacing w:after="0" w:line="57" w:lineRule="exact"/>
        <w:rPr>
          <w:sz w:val="20"/>
          <w:szCs w:val="20"/>
          <w:color w:val="auto"/>
        </w:rPr>
      </w:pPr>
    </w:p>
    <w:tbl>
      <w:tblPr>
        <w:tblLayout w:type="fixed"/>
        <w:tblInd w:w="1020" w:type="dxa"/>
        <w:tblCellMar>
          <w:top w:w="0" w:type="dxa"/>
          <w:left w:w="0" w:type="dxa"/>
          <w:bottom w:w="0" w:type="dxa"/>
          <w:right w:w="0" w:type="dxa"/>
        </w:tblCellMar>
      </w:tblPr>
      <w:tr>
        <w:trPr>
          <w:trHeight w:val="211"/>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Furniture,</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Flooring &amp;</w:t>
            </w:r>
          </w:p>
        </w:tc>
        <w:tc>
          <w:tcPr>
            <w:tcW w:w="0" w:type="dxa"/>
            <w:vAlign w:val="bottom"/>
          </w:tcPr>
          <w:p>
            <w:pPr>
              <w:spacing w:after="0"/>
              <w:rPr>
                <w:sz w:val="1"/>
                <w:szCs w:val="1"/>
                <w:color w:val="auto"/>
              </w:rPr>
            </w:pPr>
          </w:p>
        </w:tc>
      </w:tr>
      <w:tr>
        <w:trPr>
          <w:trHeight w:val="214"/>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Manufacturing Locations</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Company-</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Bedding</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Specialized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Textile</w:t>
            </w:r>
          </w:p>
        </w:tc>
        <w:tc>
          <w:tcPr>
            <w:tcW w:w="0" w:type="dxa"/>
            <w:vAlign w:val="bottom"/>
          </w:tcPr>
          <w:p>
            <w:pPr>
              <w:spacing w:after="0"/>
              <w:rPr>
                <w:sz w:val="1"/>
                <w:szCs w:val="1"/>
                <w:color w:val="auto"/>
              </w:rPr>
            </w:pPr>
          </w:p>
        </w:tc>
      </w:tr>
      <w:tr>
        <w:trPr>
          <w:trHeight w:val="233"/>
        </w:trPr>
        <w:tc>
          <w:tcPr>
            <w:tcW w:w="3040" w:type="dxa"/>
            <w:vAlign w:val="bottom"/>
            <w:gridSpan w:val="2"/>
            <w:vMerge w:val="continue"/>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Wide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Products</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Products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Products</w:t>
            </w:r>
          </w:p>
        </w:tc>
        <w:tc>
          <w:tcPr>
            <w:tcW w:w="0" w:type="dxa"/>
            <w:vAlign w:val="bottom"/>
          </w:tcPr>
          <w:p>
            <w:pPr>
              <w:spacing w:after="0"/>
              <w:rPr>
                <w:sz w:val="1"/>
                <w:szCs w:val="1"/>
                <w:color w:val="auto"/>
              </w:rPr>
            </w:pPr>
          </w:p>
        </w:tc>
      </w:tr>
      <w:tr>
        <w:trPr>
          <w:trHeight w:val="221"/>
        </w:trPr>
        <w:tc>
          <w:tcPr>
            <w:tcW w:w="2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30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Leased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3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 xml:space="preserve">We lease many of our manufacturing, warehouse, and other facilities on terms that vary by lease (including purchase options, renewals, and maintenance costs). For additional information regarding lease obligations,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on page 103 of the Notes to Consolidated Financial Statements. We do not have any manufacturing facilities that are subject to liens or encumbrances that are material to the segment in which they are reported or to the Company as a whole.</w:t>
      </w:r>
    </w:p>
    <w:p>
      <w:pPr>
        <w:spacing w:after="0" w:line="45" w:lineRule="exact"/>
        <w:rPr>
          <w:sz w:val="20"/>
          <w:szCs w:val="20"/>
          <w:color w:val="auto"/>
        </w:rPr>
      </w:pPr>
    </w:p>
    <w:p>
      <w:pPr>
        <w:ind w:right="20" w:firstLine="402"/>
        <w:spacing w:after="0" w:line="267" w:lineRule="auto"/>
        <w:rPr>
          <w:sz w:val="20"/>
          <w:szCs w:val="20"/>
          <w:color w:val="auto"/>
        </w:rPr>
      </w:pPr>
      <w:r>
        <w:rPr>
          <w:rFonts w:ascii="Arial" w:cs="Arial" w:eastAsia="Arial" w:hAnsi="Arial"/>
          <w:sz w:val="17"/>
          <w:szCs w:val="17"/>
          <w:color w:val="auto"/>
        </w:rPr>
        <w:t>No individual physical property is material to our overall manufacturing processes, except for our steel rod mill in Sterling, Illinois, and our wire drawing mills in Carthage, Missouri, and Kouts, Indiana. These facilities are reported in our Bedding Products segment. The rod mill consists of approximately 1 million square feet of owned production space. It has annual output capacity of approximately 500,000 tons of steel rod, of which approximately half is used by our own wire drawing mills. Our wire drawing mills convert the steel rod into drawn steel wire. This wire is used in the production of many of our products, including mattress innersprings. A disruption to the operation of, or supply of steel scrap to, our steel rod mill could require us to purchase steel rod from alternative supply sources, subject to market availability. A disruption to the operation of, or supply of steel rod to, our wire drawing mills could require us to purchase drawn wire from alternative supply sources, subject to market availability. Trade actions by the U.S. government, along with the existence of antidumping and countervailing duty orders against multiple countries, could result in reduced market availability and/or an increase in the cost of steel rod and/or drawn wire. If we experience a disruption in our ability to produce steel rod in our mill, for whatever reason, coupled with a reduction of adequate and/or timely supply from alternative market sources of quality steel rod, or if we experience a disruption in our ability to produce drawn wire in our wire drawing mills, for whatever reason, coupled with a reduction of adequate and/or timely supply from alternative market sources of quality drawn wire, we could experience a material negative impact on our Bedding Products segment’s and the Company’s results of operations.</w:t>
      </w:r>
    </w:p>
    <w:p>
      <w:pPr>
        <w:spacing w:after="0" w:line="55"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We believe that our owned and leased facilities are suitable and adequate for the manufacture, assembly, and distribution of our products. Our properties are strategically located to allow timely and efficient delivery of products and services to our diverse customer base. In 2025, most of our manufacturing facilities operated at less than full capacity utilization rates. As such, we have excess production capacity in most of our businesses.</w:t>
      </w:r>
    </w:p>
    <w:p>
      <w:pPr>
        <w:spacing w:after="0" w:line="58" w:lineRule="exact"/>
        <w:rPr>
          <w:sz w:val="20"/>
          <w:szCs w:val="20"/>
          <w:color w:val="auto"/>
        </w:rPr>
      </w:pPr>
    </w:p>
    <w:p>
      <w:pPr>
        <w:ind w:right="80" w:firstLine="402"/>
        <w:spacing w:after="0" w:line="254" w:lineRule="auto"/>
        <w:rPr>
          <w:sz w:val="20"/>
          <w:szCs w:val="20"/>
          <w:color w:val="auto"/>
        </w:rPr>
      </w:pPr>
      <w:r>
        <w:rPr>
          <w:rFonts w:ascii="Arial" w:cs="Arial" w:eastAsia="Arial" w:hAnsi="Arial"/>
          <w:sz w:val="18"/>
          <w:szCs w:val="18"/>
          <w:color w:val="auto"/>
        </w:rPr>
        <w:t xml:space="preserve">In the first quarter of 2024, we committed to the 2024 Restructuring Plan, pursuant to which we have consolidated 17 manufacturing and distribution facilities in the Bedding Products segment, and four production facilities in the Furniture, Flooring &amp; Textile Products segment, primarily in the United States. The production in the affected facilities has been consolidated into other facilities, or in a few cases, eliminated. Optimizing our manufacturing and distribution footprint has reduced complexity, improved overall efficiency, and aligned capacity with anticipated future market demand. For more information about the 2024 Restructuring Plan, please see the discussion under 2024 Restructuring Plan in </w:t>
      </w:r>
      <w:r>
        <w:rPr>
          <w:rFonts w:ascii="Arial" w:cs="Arial" w:eastAsia="Arial" w:hAnsi="Arial"/>
          <w:sz w:val="18"/>
          <w:szCs w:val="18"/>
          <w:u w:val="single" w:color="auto"/>
          <w:color w:val="0000FF"/>
        </w:rPr>
        <w:t>Operational Risk Factors</w:t>
      </w:r>
      <w:r>
        <w:rPr>
          <w:rFonts w:ascii="Arial" w:cs="Arial" w:eastAsia="Arial" w:hAnsi="Arial"/>
          <w:sz w:val="18"/>
          <w:szCs w:val="18"/>
          <w:color w:val="auto"/>
        </w:rPr>
        <w:t xml:space="preserve"> beginning on page 14 in Item 1A. Risk Factors, and on page 39 in </w:t>
      </w:r>
      <w:r>
        <w:rPr>
          <w:rFonts w:ascii="Arial" w:cs="Arial" w:eastAsia="Arial" w:hAnsi="Arial"/>
          <w:sz w:val="18"/>
          <w:szCs w:val="18"/>
          <w:u w:val="single" w:color="auto"/>
          <w:color w:val="0000FF"/>
        </w:rPr>
        <w:t>Item 7. Management's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Discussion and Analysis of Financial Condition and Results of Operations</w:t>
      </w:r>
      <w:r>
        <w:rPr>
          <w:rFonts w:ascii="Arial" w:cs="Arial" w:eastAsia="Arial" w:hAnsi="Arial"/>
          <w:sz w:val="18"/>
          <w:szCs w:val="18"/>
          <w:color w:val="000000"/>
        </w:rPr>
        <w: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107" w:lineRule="exact"/>
        <w:rPr>
          <w:sz w:val="20"/>
          <w:szCs w:val="20"/>
          <w:color w:val="auto"/>
        </w:rPr>
      </w:pPr>
    </w:p>
    <w:p>
      <w:pPr>
        <w:ind w:right="280" w:firstLine="402"/>
        <w:spacing w:after="0" w:line="282" w:lineRule="auto"/>
        <w:rPr>
          <w:sz w:val="20"/>
          <w:szCs w:val="20"/>
          <w:color w:val="auto"/>
        </w:rPr>
      </w:pPr>
      <w:r>
        <w:rPr>
          <w:rFonts w:ascii="Arial" w:cs="Arial" w:eastAsia="Arial" w:hAnsi="Arial"/>
          <w:sz w:val="18"/>
          <w:szCs w:val="18"/>
          <w:color w:val="auto"/>
        </w:rPr>
        <w:t xml:space="preserve">Reference is made to the information in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122 of the Notes to Consolidated Financial Statements, which is incorporated into this section by reference.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Mattress Antidumping Matters</w:t>
      </w:r>
    </w:p>
    <w:p>
      <w:pPr>
        <w:spacing w:after="0" w:line="103" w:lineRule="exact"/>
        <w:rPr>
          <w:sz w:val="20"/>
          <w:szCs w:val="20"/>
          <w:color w:val="auto"/>
        </w:rPr>
      </w:pPr>
    </w:p>
    <w:p>
      <w:pPr>
        <w:ind w:right="20" w:firstLine="402"/>
        <w:spacing w:after="0" w:line="251" w:lineRule="auto"/>
        <w:rPr>
          <w:sz w:val="20"/>
          <w:szCs w:val="20"/>
          <w:color w:val="auto"/>
        </w:rPr>
      </w:pPr>
      <w:r>
        <w:rPr>
          <w:rFonts w:ascii="Arial" w:cs="Arial" w:eastAsia="Arial" w:hAnsi="Arial"/>
          <w:sz w:val="18"/>
          <w:szCs w:val="18"/>
          <w:b w:val="1"/>
          <w:bCs w:val="1"/>
          <w:i w:val="1"/>
          <w:iCs w:val="1"/>
          <w:u w:val="single" w:color="auto"/>
          <w:color w:val="auto"/>
        </w:rPr>
        <w:t>Anti-Dumping and Countervailing Order Petitions Regarding Mattresses from China, Cambodia, Indonesia, Malaysia, Serbia, Thailand, Turkey, and Vietnam.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31, 2020, the Company, along with Brooklyn Bedding LLC, Corsicana Mattress Company, Elite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Comfort Solutions (a Leggett subsidiary), FXI, Inc., Innocor, Inc., Kolcraft Enterprises, Inc., and two labor unions—the International Brotherhood of Teamsters and the United Steelworkers (collectively, the “2020 Petitioners”)—filed petitions with the U.S. Department of Commerce (DOC) and the U.S. International Trade Commission (ITC). The petitions alleged that mattress manufacturers in Cambodia, Indonesia, Malaysia, Serbia, Thailand, Turkey, and Vietnam were selling products in the United States at less than fair value, and that manufacturers in China were receiving unfair subsidies. The DOC imposed antidumping and countervailing duties ranging from 2% to 763%, effective through May 2026. Following appeals, the U.S. Court of International Trade (CIT) upheld the ITC’s injury determination. However, the DOC revoked the order on mattresses from Indonesia, and the 2020 Petitioners filed an appeal with the U.S. Court of Appeals for the Federal Circuit on April 17, 2025, which remains pending. Separately, on February 6, 2025, the DOC determined that revocation of the 2019 antidumping duty order on mattresses from China would likely lead to continued dumping. The DOC extended the order, and duties of up to 1,732% will remain in effect through May 2030.</w:t>
      </w:r>
    </w:p>
    <w:p>
      <w:pPr>
        <w:spacing w:after="0" w:line="70" w:lineRule="exact"/>
        <w:rPr>
          <w:sz w:val="20"/>
          <w:szCs w:val="20"/>
          <w:color w:val="auto"/>
        </w:rPr>
      </w:pPr>
    </w:p>
    <w:p>
      <w:pPr>
        <w:ind w:right="60" w:firstLine="402"/>
        <w:spacing w:after="0" w:line="251" w:lineRule="auto"/>
        <w:rPr>
          <w:sz w:val="20"/>
          <w:szCs w:val="20"/>
          <w:color w:val="auto"/>
        </w:rPr>
      </w:pPr>
      <w:r>
        <w:rPr>
          <w:rFonts w:ascii="Arial" w:cs="Arial" w:eastAsia="Arial" w:hAnsi="Arial"/>
          <w:sz w:val="18"/>
          <w:szCs w:val="18"/>
          <w:b w:val="1"/>
          <w:bCs w:val="1"/>
          <w:i w:val="1"/>
          <w:iCs w:val="1"/>
          <w:u w:val="single" w:color="auto"/>
          <w:color w:val="auto"/>
        </w:rPr>
        <w:t>Anti-Dumping and Countervailing Order Petitions Regarding Mattresses Imported from Indonesia, Bosnia and Herzegovina, Bulgaria, Burma, India, Italy, Kosovo, Mexico, the Philippines, Poland, Slovenia, Spain, and Taiwan.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28, 2023,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along with Brooklyn Bedding LLC, Carpenter Company, Corsicana Mattress Company, Future Foam, Inc., FXI, Inc., Kolcraft Enterprises Inc., Serta Simmons Bedding, LLC, Southerland Inc., Tempur Sealy International, and the same two labor unions (collectively, the “2023 Petitioners”), filed petitions with the DOC and ITC. These petitions alleged that mattress manufacturers in Bosnia and Herzegovina, Bulgaria, Burma, India, Italy, Kosovo, Mexico, the Philippines, Poland, Slovenia, Spain, and Taiwan were selling products in the United States at less than fair value, and that manufacturers in Indonesia were receiving unfair subsidies. The ITC issued a preliminary injury determination on September 11, 2023. The DOC made a negative preliminary finding on Indonesian subsidies on December 26, 2023, and therefore did not impose countervailing duties. Final determinations for Bosnia and Herzegovina, Bulgaria, Burma, Italy, Philippines, Poland, Slovenia, and Taiwan were issued on May 9, 2024, with duties ranging from 106% to 745%. The ITC issued its final injury determination on June 11, 2024, and sunset reviews are scheduled for June 2029. For India, Kosovo, Mexico, and Spain, final DOC determinations were published on July 22, 2024, with duties ranging from 5% to 345%. The ITC issued its final injury determination for those countries on August 28, 2024. Although the case is resolved with respect to duties and injury findings, an importer has appealed the ITC’s critical circumstances determination imposing retroactive duties. That appeal remains pending.</w:t>
      </w:r>
    </w:p>
    <w:p>
      <w:pPr>
        <w:spacing w:after="0" w:line="51"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On November 18, 2025, the Company, along with the 2023 Petitioners, filed with the DOC requests to initiate anti-circumvention inquiries on mattress component imports from Poland, Mexico, and Malaysia. The requests allege that mattress components are being imported from these three countries and assembled into finished mattresses in the United States, which are then sold in the United States. The anti-circumvention requests allege that the assembly of these components is minor or insignificant under the law and as a result, the mattress component imports from Poland, Mexico, and Malaysia are allegedly circumventing anti-dumping orders.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01"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threshold which we determine is reasonably designed to result in disclosure of any such proceeding that is material to our business or financial condition. Item 103 states that the disclosure threshold is $300,000, or at our election, a threshold that does not exceed the lesser of $1 million or one percent of our consolidated current assets. We have determined such disclosure threshold to be $1 million. We have no environmental matters to disclose for this period under this threshold.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Item. Information About Our Executive Officers.</w:t>
      </w:r>
    </w:p>
    <w:p>
      <w:pPr>
        <w:spacing w:after="0" w:line="107" w:lineRule="exact"/>
        <w:rPr>
          <w:sz w:val="20"/>
          <w:szCs w:val="20"/>
          <w:color w:val="auto"/>
        </w:rPr>
      </w:pPr>
    </w:p>
    <w:p>
      <w:pPr>
        <w:ind w:right="200" w:firstLine="402"/>
        <w:spacing w:after="0" w:line="282" w:lineRule="auto"/>
        <w:rPr>
          <w:sz w:val="20"/>
          <w:szCs w:val="20"/>
          <w:color w:val="auto"/>
        </w:rPr>
      </w:pPr>
      <w:r>
        <w:rPr>
          <w:rFonts w:ascii="Arial" w:cs="Arial" w:eastAsia="Arial" w:hAnsi="Arial"/>
          <w:sz w:val="18"/>
          <w:szCs w:val="18"/>
          <w:color w:val="auto"/>
        </w:rPr>
        <w:t>The following information is included in accordance with the provisions of Part III, Item 10 of Form 10-K, Item 401(b) of Regulation S-K, and the Instruction to Item 401 of Regulation S-K.</w:t>
      </w:r>
    </w:p>
    <w:p>
      <w:pPr>
        <w:spacing w:after="0" w:line="36" w:lineRule="exact"/>
        <w:rPr>
          <w:sz w:val="20"/>
          <w:szCs w:val="20"/>
          <w:color w:val="auto"/>
        </w:rPr>
      </w:pPr>
    </w:p>
    <w:p>
      <w:pPr>
        <w:jc w:val="both"/>
        <w:ind w:right="80" w:firstLine="402"/>
        <w:spacing w:after="0" w:line="277" w:lineRule="auto"/>
        <w:rPr>
          <w:sz w:val="20"/>
          <w:szCs w:val="20"/>
          <w:color w:val="auto"/>
        </w:rPr>
      </w:pPr>
      <w:r>
        <w:rPr>
          <w:rFonts w:ascii="Arial" w:cs="Arial" w:eastAsia="Arial" w:hAnsi="Arial"/>
          <w:sz w:val="18"/>
          <w:szCs w:val="18"/>
          <w:color w:val="auto"/>
        </w:rPr>
        <w:t>The table below sets forth the names, ages, and positions of persons appointed as executive officers of the Company. Executive officers are normally appointed annually by the Board of Directors.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Age</w:t>
            </w:r>
          </w:p>
        </w:tc>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2"/>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Karl G. Glassman</w:t>
            </w:r>
          </w:p>
        </w:tc>
        <w:tc>
          <w:tcPr>
            <w:tcW w:w="3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340" w:type="dxa"/>
            <w:vAlign w:val="bottom"/>
            <w:tcBorders>
              <w:top w:val="single" w:sz="8" w:color="CCEEFF"/>
            </w:tcBorders>
            <w:shd w:val="clear" w:color="auto" w:fill="CCEEFF"/>
          </w:tcPr>
          <w:p>
            <w:pPr>
              <w:spacing w:after="0"/>
              <w:rPr>
                <w:sz w:val="19"/>
                <w:szCs w:val="19"/>
                <w:color w:val="auto"/>
              </w:rPr>
            </w:pPr>
          </w:p>
        </w:tc>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Benjamin M. Burns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3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Jennifer J. Davis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34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2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J. Tyson Hagale</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3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Executive Vice President, President—Bedding Products</w:t>
            </w:r>
          </w:p>
        </w:tc>
      </w:tr>
      <w:tr>
        <w:trPr>
          <w:trHeight w:val="22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Ryan M. Kleiboeker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340" w:type="dxa"/>
            <w:vAlign w:val="bottom"/>
            <w:shd w:val="clear" w:color="auto" w:fill="CCEEFF"/>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President—Chief Strategic Planning Officer</w:t>
            </w:r>
          </w:p>
        </w:tc>
      </w:tr>
      <w:tr>
        <w:trPr>
          <w:trHeight w:val="228"/>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Lindsey N. Odaffer</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3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Executive Vice President—Chief Human Resources Officer</w:t>
            </w:r>
          </w:p>
        </w:tc>
      </w:tr>
      <w:tr>
        <w:trPr>
          <w:trHeight w:val="174"/>
        </w:trPr>
        <w:tc>
          <w:tcPr>
            <w:tcW w:w="27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rPr>
              <w:t>R. Samuel Smith, Jr.</w:t>
            </w:r>
          </w:p>
        </w:tc>
        <w:tc>
          <w:tcPr>
            <w:tcW w:w="92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58</w:t>
            </w:r>
          </w:p>
        </w:tc>
        <w:tc>
          <w:tcPr>
            <w:tcW w:w="340" w:type="dxa"/>
            <w:vAlign w:val="bottom"/>
            <w:shd w:val="clear" w:color="auto" w:fill="CCEEFF"/>
          </w:tcPr>
          <w:p>
            <w:pPr>
              <w:spacing w:after="0"/>
              <w:rPr>
                <w:sz w:val="15"/>
                <w:szCs w:val="15"/>
                <w:color w:val="auto"/>
              </w:rPr>
            </w:pPr>
          </w:p>
        </w:tc>
        <w:tc>
          <w:tcPr>
            <w:tcW w:w="70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Executive Vice President, President—Specialized Products and Furniture, Flooring &amp;</w:t>
            </w:r>
          </w:p>
        </w:tc>
      </w:tr>
      <w:tr>
        <w:trPr>
          <w:trHeight w:val="241"/>
        </w:trPr>
        <w:tc>
          <w:tcPr>
            <w:tcW w:w="2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Textile Products</w:t>
            </w:r>
          </w:p>
        </w:tc>
      </w:tr>
      <w:tr>
        <w:trPr>
          <w:trHeight w:val="236"/>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Tammy M. Trent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340" w:type="dxa"/>
            <w:vAlign w:val="bottom"/>
          </w:tcPr>
          <w:p>
            <w:pPr>
              <w:spacing w:after="0"/>
              <w:rPr>
                <w:sz w:val="20"/>
                <w:szCs w:val="20"/>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Senior Vice President—Chief Accounting Officer</w:t>
            </w:r>
          </w:p>
        </w:tc>
      </w:tr>
    </w:tbl>
    <w:p>
      <w:pPr>
        <w:spacing w:after="0" w:line="161" w:lineRule="exact"/>
        <w:rPr>
          <w:sz w:val="20"/>
          <w:szCs w:val="20"/>
          <w:color w:val="auto"/>
        </w:rPr>
      </w:pPr>
    </w:p>
    <w:p>
      <w:pPr>
        <w:jc w:val="both"/>
        <w:ind w:right="100" w:firstLine="402"/>
        <w:spacing w:after="0" w:line="259" w:lineRule="auto"/>
        <w:rPr>
          <w:sz w:val="20"/>
          <w:szCs w:val="20"/>
          <w:color w:val="auto"/>
        </w:rPr>
      </w:pPr>
      <w:r>
        <w:rPr>
          <w:rFonts w:ascii="Arial" w:cs="Arial" w:eastAsia="Arial" w:hAnsi="Arial"/>
          <w:sz w:val="18"/>
          <w:szCs w:val="18"/>
          <w:color w:val="auto"/>
        </w:rPr>
        <w:t xml:space="preserve">Subject to certain severance benefit agreements and retention agreements, the executive officers generally serve at the pleasure of the Board of Directors. The severance benefit agreements with Ms. Davis and Messrs. Glassman, Burns, Hagale and Smith are listed as exhibits to this report. Also, the form of retention agreement entered into with Ms. Davis, and Messrs. Burns, Hagale and Smith is listed as an exhibit to this report. Please see </w:t>
      </w:r>
      <w:r>
        <w:rPr>
          <w:rFonts w:ascii="Arial" w:cs="Arial" w:eastAsia="Arial" w:hAnsi="Arial"/>
          <w:sz w:val="18"/>
          <w:szCs w:val="18"/>
          <w:u w:val="single" w:color="auto"/>
          <w:color w:val="0000FF"/>
        </w:rPr>
        <w:t>Exhibit Index</w:t>
      </w:r>
      <w:r>
        <w:rPr>
          <w:rFonts w:ascii="Arial" w:cs="Arial" w:eastAsia="Arial" w:hAnsi="Arial"/>
          <w:sz w:val="18"/>
          <w:szCs w:val="18"/>
          <w:color w:val="auto"/>
        </w:rPr>
        <w:t xml:space="preserve"> on page 124 for reference to the agreements.</w:t>
      </w:r>
    </w:p>
    <w:p>
      <w:pPr>
        <w:spacing w:after="0" w:line="58"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Karl G. Glassman has served as the Company's President and Chief Executive Officer since May 2024, and served as segment manager of Specialized Products on a temporary basis until February 2025. He previously served as the Company's Executive Chairman of the Board from 2022 until his retirement in May 2023 and was first appointed Chairman of the Board in 2020. Mr. Glassman also served as the Company's Chief Executive Officer from 2016 to 2021, President from 2013 to 2019, Chief Operating Officer from 2006 to 2015, Executive Vice President from 2002 to 2013, President of the former Residential Furnishings segment from 1999 to 2006, Senior Vice President from 1999 to 2002, and in various capacities since 1982.</w:t>
      </w:r>
    </w:p>
    <w:p>
      <w:pPr>
        <w:spacing w:after="0" w:line="61" w:lineRule="exact"/>
        <w:rPr>
          <w:sz w:val="20"/>
          <w:szCs w:val="20"/>
          <w:color w:val="auto"/>
        </w:rPr>
      </w:pPr>
    </w:p>
    <w:p>
      <w:pPr>
        <w:ind w:right="200" w:firstLine="402"/>
        <w:spacing w:after="0" w:line="279" w:lineRule="auto"/>
        <w:rPr>
          <w:sz w:val="20"/>
          <w:szCs w:val="20"/>
          <w:color w:val="auto"/>
        </w:rPr>
      </w:pPr>
      <w:r>
        <w:rPr>
          <w:rFonts w:ascii="Arial" w:cs="Arial" w:eastAsia="Arial" w:hAnsi="Arial"/>
          <w:sz w:val="17"/>
          <w:szCs w:val="17"/>
          <w:color w:val="auto"/>
        </w:rPr>
        <w:t>Benjamin M. Burns was appointed Executive Vice President and Chief Financial Officer in 2023. He previously served the Company as Executive Vice President—Business Support Services during 2023 until his appointment as CFO, Senior Vice President—Business Support Services in 2022, Vice President, Business Support Services from 2019 to 2022, Vice President, Treasurer from 2017 to 2019 and Vice President, Internal Audit/Due Diligence from 2012 to 2017. Mr. Burns served the Company in various other auditing capacities since 2003.</w:t>
      </w:r>
    </w:p>
    <w:p>
      <w:pPr>
        <w:spacing w:after="0" w:line="29"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Jennifer J. Davis was appointed Executive Vice President and General Counsel in January 2024. She previously served as Vice President – Deputy General Counsel from 2020 to 2023, as Deputy General Counsel from 2015 to 2020, and as Associate General Counsel &amp; Chief Litigation Counsel from 2012 to 2022 after joining the Company’s Legal Department in 2006.</w:t>
      </w:r>
    </w:p>
    <w:p>
      <w:pPr>
        <w:spacing w:after="0" w:line="52" w:lineRule="exact"/>
        <w:rPr>
          <w:sz w:val="20"/>
          <w:szCs w:val="20"/>
          <w:color w:val="auto"/>
        </w:rPr>
      </w:pPr>
    </w:p>
    <w:p>
      <w:pPr>
        <w:ind w:right="120" w:firstLine="402"/>
        <w:spacing w:after="0" w:line="257" w:lineRule="auto"/>
        <w:rPr>
          <w:sz w:val="20"/>
          <w:szCs w:val="20"/>
          <w:color w:val="auto"/>
        </w:rPr>
      </w:pPr>
      <w:r>
        <w:rPr>
          <w:rFonts w:ascii="Arial" w:cs="Arial" w:eastAsia="Arial" w:hAnsi="Arial"/>
          <w:sz w:val="18"/>
          <w:szCs w:val="18"/>
          <w:color w:val="auto"/>
        </w:rPr>
        <w:t>J. Tyson Hagale was appointed Executive Vice President, President—Bedding Products in 2023. He previously served the Company as Senior Vice President, President—Bedding Products since 2021, Commercial Vice President for Domestic Bedding since 2020, President of the Home Furniture Group in 2020, President of the Furniture Hardware Division from 2018 to 2020, Director of Market Plan Development from 2015 to 2018, and Business Development Director from 2011 to 2015. He joined Leggett in 2001 as a member of the Corporate Development Department, and served in a variety of financial and strategic roles during his first ten years with the Company.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Ryan M. Kleiboeker was appointed Executive Vice President—Chief Strategic Planning Officer in February 2024. He previously served the Company as Senior Vice President—Chief Strategic Planning Officer since 2023 and Vice President—Corporate Development and Financial Planning since 2020. He held roles within the Company’s operations from 2016 to 2020, including Director of Finance and Business Development for the Specialized and Furniture, Flooring &amp; Textile Products segments, and served as Director of Corporate Development in 2015 and in various other roles since 2005.</w:t>
      </w:r>
    </w:p>
    <w:p>
      <w:pPr>
        <w:spacing w:after="0" w:line="45" w:lineRule="exact"/>
        <w:rPr>
          <w:sz w:val="20"/>
          <w:szCs w:val="20"/>
          <w:color w:val="auto"/>
        </w:rPr>
      </w:pPr>
    </w:p>
    <w:p>
      <w:pPr>
        <w:ind w:right="240" w:firstLine="402"/>
        <w:spacing w:after="0" w:line="265" w:lineRule="auto"/>
        <w:rPr>
          <w:sz w:val="20"/>
          <w:szCs w:val="20"/>
          <w:color w:val="auto"/>
        </w:rPr>
      </w:pPr>
      <w:r>
        <w:rPr>
          <w:rFonts w:ascii="Arial" w:cs="Arial" w:eastAsia="Arial" w:hAnsi="Arial"/>
          <w:sz w:val="18"/>
          <w:szCs w:val="18"/>
          <w:color w:val="auto"/>
        </w:rPr>
        <w:t>Lindsey N. Odaffer was appointed Executive Vice President—Chief Human Resources Officer in January 2025. She previously served the Company as Vice President, Financial Support Services in 2024, as Vice President, Internal Audit/Due Diligence since 2017, and in various other internal audit roles of increasing responsibility since 2005.</w:t>
      </w:r>
    </w:p>
    <w:p>
      <w:pPr>
        <w:spacing w:after="0" w:line="52"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R. Samuel Smith, Jr. was appointed as Executive Vice President, President—Specialized Products and Furniture, Flooring &amp; Textile Products in February 2025. He previously served as Executive Vice President, President—Furniture, Flooring &amp; Textile Products since August 2024, and Senior Vice President, President—Furniture, Flooring &amp; Textile Products since April 2024. Mr. Smith previously served the Company as President—Home Furniture Group from 2020 to 2024, VP Operations—Home Furniture Group from 2019 to 2020, and VP Operations—Seating &amp; Distribution from 2018 to 2019 after joining the Company in 2014 as the general manager of Matrex, a Home Furniture operation. Prior to Leggett, Mr. Smith served as Chief Operating Officer for a medical billing company, and he spent sixteen years at Unifi, Inc., a multinational textile fiber processor in various engineering, sales, and general management roles.</w:t>
      </w:r>
    </w:p>
    <w:p>
      <w:pPr>
        <w:spacing w:after="0" w:line="62"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Tammy M. Trent was appointed Senior Vice President in 2017 and has served as Chief Accounting Officer since 2015. She previously served as Vice President from 2015 to 2017, and Staff Vice President, Financial Reporting from 2007 to 2015. She has served the Company in various financial capacities since 1998.</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PART II</w:t>
      </w:r>
    </w:p>
    <w:p>
      <w:pPr>
        <w:spacing w:after="0" w:line="271" w:lineRule="exact"/>
        <w:rPr>
          <w:sz w:val="20"/>
          <w:szCs w:val="20"/>
          <w:color w:val="auto"/>
        </w:rPr>
      </w:pPr>
    </w:p>
    <w:p>
      <w:pPr>
        <w:ind w:right="860"/>
        <w:spacing w:after="0" w:line="293"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Market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traded on the New York Stock Exchange (symbol LEG).</w:t>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Shareholders and Dividends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20, 2026, we had 5,499 shareholders of record.</w:t>
      </w:r>
    </w:p>
    <w:p>
      <w:pPr>
        <w:spacing w:after="0" w:line="101"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color w:val="auto"/>
        </w:rPr>
        <w:t>On February 26, 2026, our Board declared a quarterly cash dividend of $.05 per share payable on April 15, 2026 to shareholders of record on March 13, 2026. We have no contractual restrictions that materially limit our ability to pay such dividends. Our Board may change our dividend policy at any time and could do so, for example, if it was to determine that (i) strategic alternative uses of cash are in the best interest of the Company and its shareholders, or (ii) we have insufficient cash to fund dividends, capital expenditures, or working capital needs, to reduce leverage, or to ensure compliance with our leverage ratio under our credit agreement. However, our current expectation is to continue paying dividends at a comparable quarterly rate or higher.</w:t>
      </w:r>
    </w:p>
    <w:p>
      <w:pPr>
        <w:spacing w:after="0" w:line="48" w:lineRule="exact"/>
        <w:rPr>
          <w:sz w:val="20"/>
          <w:szCs w:val="20"/>
          <w:color w:val="auto"/>
        </w:rPr>
      </w:pPr>
    </w:p>
    <w:p>
      <w:pPr>
        <w:ind w:right="120" w:firstLine="442"/>
        <w:spacing w:after="0" w:line="282" w:lineRule="auto"/>
        <w:rPr>
          <w:sz w:val="20"/>
          <w:szCs w:val="20"/>
          <w:color w:val="auto"/>
        </w:rPr>
      </w:pPr>
      <w:r>
        <w:rPr>
          <w:rFonts w:ascii="Arial" w:cs="Arial" w:eastAsia="Arial" w:hAnsi="Arial"/>
          <w:sz w:val="18"/>
          <w:szCs w:val="18"/>
          <w:color w:val="auto"/>
        </w:rPr>
        <w:t xml:space="preserve">For more information on dividends, see </w:t>
      </w:r>
      <w:r>
        <w:rPr>
          <w:rFonts w:ascii="Arial" w:cs="Arial" w:eastAsia="Arial" w:hAnsi="Arial"/>
          <w:sz w:val="18"/>
          <w:szCs w:val="18"/>
          <w:u w:val="single" w:color="auto"/>
          <w:color w:val="0000FF"/>
        </w:rPr>
        <w:t>Dividends</w:t>
      </w:r>
      <w:r>
        <w:rPr>
          <w:rFonts w:ascii="Arial" w:cs="Arial" w:eastAsia="Arial" w:hAnsi="Arial"/>
          <w:sz w:val="18"/>
          <w:szCs w:val="18"/>
          <w:color w:val="auto"/>
        </w:rPr>
        <w:t xml:space="preserve"> in Item 7. Management’s Discussion and Analysis of Financial Condition and Results of Operations on page 55.</w:t>
      </w:r>
    </w:p>
    <w:p>
      <w:pPr>
        <w:spacing w:after="0" w:line="12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Issuer Purchases of Equity Securities</w:t>
      </w:r>
    </w:p>
    <w:p>
      <w:pPr>
        <w:spacing w:after="0" w:line="102" w:lineRule="exact"/>
        <w:rPr>
          <w:sz w:val="20"/>
          <w:szCs w:val="20"/>
          <w:color w:val="auto"/>
        </w:rPr>
      </w:pPr>
    </w:p>
    <w:p>
      <w:pPr>
        <w:ind w:right="440" w:firstLine="402"/>
        <w:spacing w:after="0" w:line="282" w:lineRule="auto"/>
        <w:rPr>
          <w:sz w:val="20"/>
          <w:szCs w:val="20"/>
          <w:color w:val="auto"/>
        </w:rPr>
      </w:pPr>
      <w:r>
        <w:rPr>
          <w:rFonts w:ascii="Arial" w:cs="Arial" w:eastAsia="Arial" w:hAnsi="Arial"/>
          <w:sz w:val="18"/>
          <w:szCs w:val="18"/>
          <w:color w:val="auto"/>
        </w:rPr>
        <w:t>As seen by the below table, neither we nor any affiliated purchaser purchased any shares of our common stock during any calendar month in the fourth quarter of 2025.</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177"/>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ind w:left="201"/>
              <w:spacing w:after="0"/>
              <w:rPr>
                <w:sz w:val="20"/>
                <w:szCs w:val="20"/>
                <w:color w:val="auto"/>
              </w:rPr>
            </w:pPr>
            <w:r>
              <w:rPr>
                <w:rFonts w:ascii="Arial" w:cs="Arial" w:eastAsia="Arial" w:hAnsi="Arial"/>
                <w:sz w:val="16"/>
                <w:szCs w:val="16"/>
                <w:b w:val="1"/>
                <w:bCs w:val="1"/>
                <w:color w:val="auto"/>
                <w:w w:val="99"/>
              </w:rPr>
              <w:t>Total Number of Shares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3"/>
                <w:szCs w:val="13"/>
                <w:color w:val="auto"/>
              </w:rPr>
            </w:pPr>
          </w:p>
        </w:tc>
        <w:tc>
          <w:tcPr>
            <w:tcW w:w="900" w:type="dxa"/>
            <w:vAlign w:val="bottom"/>
          </w:tcPr>
          <w:p>
            <w:pPr>
              <w:jc w:val="center"/>
              <w:ind w:left="177"/>
              <w:spacing w:after="0" w:line="161" w:lineRule="exact"/>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ind w:left="201"/>
              <w:spacing w:after="0" w:line="161" w:lineRule="exact"/>
              <w:rPr>
                <w:sz w:val="20"/>
                <w:szCs w:val="20"/>
                <w:color w:val="auto"/>
              </w:rPr>
            </w:pPr>
            <w:r>
              <w:rPr>
                <w:rFonts w:ascii="Arial" w:cs="Arial" w:eastAsia="Arial" w:hAnsi="Arial"/>
                <w:sz w:val="16"/>
                <w:szCs w:val="16"/>
                <w:b w:val="1"/>
                <w:bCs w:val="1"/>
                <w:color w:val="auto"/>
              </w:rPr>
              <w:t>Purchased as Part of</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Shares that May Yet</w:t>
            </w:r>
          </w:p>
        </w:tc>
        <w:tc>
          <w:tcPr>
            <w:tcW w:w="0" w:type="dxa"/>
            <w:vAlign w:val="bottom"/>
          </w:tcPr>
          <w:p>
            <w:pPr>
              <w:spacing w:after="0"/>
              <w:rPr>
                <w:sz w:val="1"/>
                <w:szCs w:val="1"/>
                <w:color w:val="auto"/>
              </w:rPr>
            </w:pPr>
          </w:p>
        </w:tc>
      </w:tr>
      <w:tr>
        <w:trPr>
          <w:trHeight w:val="161"/>
        </w:trPr>
        <w:tc>
          <w:tcPr>
            <w:tcW w:w="188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177"/>
              <w:spacing w:after="0" w:line="161" w:lineRule="exact"/>
              <w:rPr>
                <w:sz w:val="20"/>
                <w:szCs w:val="20"/>
                <w:color w:val="auto"/>
              </w:rPr>
            </w:pPr>
            <w:r>
              <w:rPr>
                <w:rFonts w:ascii="Arial" w:cs="Arial" w:eastAsia="Arial" w:hAnsi="Arial"/>
                <w:sz w:val="16"/>
                <w:szCs w:val="16"/>
                <w:b w:val="1"/>
                <w:bCs w:val="1"/>
                <w:color w:val="auto"/>
              </w:rPr>
              <w:t>Paid per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ind w:left="221"/>
              <w:spacing w:after="0" w:line="161" w:lineRule="exact"/>
              <w:rPr>
                <w:sz w:val="20"/>
                <w:szCs w:val="20"/>
                <w:color w:val="auto"/>
              </w:rPr>
            </w:pPr>
            <w:r>
              <w:rPr>
                <w:rFonts w:ascii="Arial" w:cs="Arial" w:eastAsia="Arial" w:hAnsi="Arial"/>
                <w:sz w:val="16"/>
                <w:szCs w:val="16"/>
                <w:b w:val="1"/>
                <w:bCs w:val="1"/>
                <w:color w:val="auto"/>
              </w:rPr>
              <w:t>Publicly Announced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4"/>
        </w:trPr>
        <w:tc>
          <w:tcPr>
            <w:tcW w:w="1880" w:type="dxa"/>
            <w:vAlign w:val="bottom"/>
            <w:gridSpan w:val="2"/>
            <w:vMerge w:val="continue"/>
          </w:tcPr>
          <w:p>
            <w:pPr>
              <w:spacing w:after="0"/>
              <w:rPr>
                <w:sz w:val="18"/>
                <w:szCs w:val="18"/>
                <w:color w:val="auto"/>
              </w:rPr>
            </w:pPr>
          </w:p>
        </w:tc>
        <w:tc>
          <w:tcPr>
            <w:tcW w:w="2020" w:type="dxa"/>
            <w:vAlign w:val="bottom"/>
          </w:tcPr>
          <w:p>
            <w:pPr>
              <w:ind w:left="260"/>
              <w:spacing w:after="0" w:line="214" w:lineRule="exact"/>
              <w:rPr>
                <w:sz w:val="20"/>
                <w:szCs w:val="20"/>
                <w:color w:val="auto"/>
              </w:rPr>
            </w:pPr>
            <w:r>
              <w:rPr>
                <w:rFonts w:ascii="Arial" w:cs="Arial" w:eastAsia="Arial" w:hAnsi="Arial"/>
                <w:sz w:val="15"/>
                <w:szCs w:val="15"/>
                <w:b w:val="1"/>
                <w:bCs w:val="1"/>
                <w:color w:val="auto"/>
              </w:rPr>
              <w:t xml:space="preserve">Shares Purchased </w:t>
            </w:r>
            <w:r>
              <w:rPr>
                <w:rFonts w:ascii="Arial" w:cs="Arial" w:eastAsia="Arial" w:hAnsi="Arial"/>
                <w:sz w:val="24"/>
                <w:szCs w:val="24"/>
                <w:b w:val="1"/>
                <w:bCs w:val="1"/>
                <w:color w:val="auto"/>
                <w:vertAlign w:val="superscript"/>
              </w:rPr>
              <w:t>1</w:t>
            </w:r>
          </w:p>
        </w:tc>
        <w:tc>
          <w:tcPr>
            <w:tcW w:w="120" w:type="dxa"/>
            <w:vAlign w:val="bottom"/>
          </w:tcPr>
          <w:p>
            <w:pPr>
              <w:spacing w:after="0"/>
              <w:rPr>
                <w:sz w:val="18"/>
                <w:szCs w:val="18"/>
                <w:color w:val="auto"/>
              </w:rPr>
            </w:pPr>
          </w:p>
        </w:tc>
        <w:tc>
          <w:tcPr>
            <w:tcW w:w="900" w:type="dxa"/>
            <w:vAlign w:val="bottom"/>
          </w:tcPr>
          <w:p>
            <w:pPr>
              <w:jc w:val="center"/>
              <w:ind w:left="177"/>
              <w:spacing w:after="0"/>
              <w:rPr>
                <w:sz w:val="20"/>
                <w:szCs w:val="20"/>
                <w:color w:val="auto"/>
              </w:rPr>
            </w:pPr>
            <w:r>
              <w:rPr>
                <w:rFonts w:ascii="Arial" w:cs="Arial" w:eastAsia="Arial" w:hAnsi="Arial"/>
                <w:sz w:val="16"/>
                <w:szCs w:val="16"/>
                <w:b w:val="1"/>
                <w:bCs w:val="1"/>
                <w:color w:val="auto"/>
                <w:w w:val="98"/>
              </w:rPr>
              <w:t>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ind w:left="201"/>
              <w:spacing w:after="0" w:line="214"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jc w:val="center"/>
              <w:spacing w:after="0" w:line="214" w:lineRule="exact"/>
              <w:rPr>
                <w:sz w:val="20"/>
                <w:szCs w:val="20"/>
                <w:color w:val="auto"/>
              </w:rPr>
            </w:pPr>
            <w:r>
              <w:rPr>
                <w:rFonts w:ascii="Arial" w:cs="Arial" w:eastAsia="Arial" w:hAnsi="Arial"/>
                <w:sz w:val="15"/>
                <w:szCs w:val="15"/>
                <w:b w:val="1"/>
                <w:bCs w:val="1"/>
                <w:color w:val="auto"/>
              </w:rPr>
              <w:t xml:space="preserve">Plans or Programs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21"/>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October 2025</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8"/>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November 2025</w:t>
            </w:r>
          </w:p>
        </w:tc>
        <w:tc>
          <w:tcPr>
            <w:tcW w:w="2020" w:type="dxa"/>
            <w:vAlign w:val="bottom"/>
          </w:tcPr>
          <w:p>
            <w:pPr>
              <w:ind w:left="17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8"/>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2025</w:t>
            </w:r>
          </w:p>
        </w:tc>
        <w:tc>
          <w:tcPr>
            <w:tcW w:w="202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1"/>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7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b w:val="1"/>
                <w:bCs w:val="1"/>
                <w:color w:val="auto"/>
              </w:rPr>
              <w:t>$</w:t>
            </w:r>
          </w:p>
        </w:tc>
        <w:tc>
          <w:tcPr>
            <w:tcW w:w="254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80" w:right="520" w:hanging="171"/>
        <w:spacing w:after="0" w:line="210" w:lineRule="auto"/>
        <w:tabs>
          <w:tab w:leader="none" w:pos="535" w:val="left"/>
        </w:tabs>
        <w:numPr>
          <w:ilvl w:val="0"/>
          <w:numId w:val="20"/>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column does not include shares withheld for taxes on stock unit conversions, as well as forfeitures of stock units, all of which totaled 3,207 shares in the fourth quarter of 2025. The average price per share for these shares was $9.72.</w:t>
      </w:r>
    </w:p>
    <w:p>
      <w:pPr>
        <w:spacing w:after="0" w:line="87" w:lineRule="exact"/>
        <w:rPr>
          <w:sz w:val="20"/>
          <w:szCs w:val="20"/>
          <w:color w:val="auto"/>
        </w:rPr>
      </w:pPr>
    </w:p>
    <w:p>
      <w:pPr>
        <w:ind w:left="580" w:right="140" w:hanging="171"/>
        <w:spacing w:after="0" w:line="231" w:lineRule="auto"/>
        <w:tabs>
          <w:tab w:leader="none" w:pos="5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August 7, 2024, the Board authorized the Company to repurchase up to 10 million shares each calendar year. This standing authorization was first announced on </w:t>
      </w:r>
      <w:hyperlink r:id="rId50">
        <w:r>
          <w:rPr>
            <w:rFonts w:ascii="Arial" w:cs="Arial" w:eastAsia="Arial" w:hAnsi="Arial"/>
            <w:sz w:val="18"/>
            <w:szCs w:val="18"/>
            <w:u w:val="single" w:color="auto"/>
            <w:color w:val="0000FF"/>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2024, filed August 7, 2024, and will remain in force until repealed by the Board of Directors. This standing Board authorization replaced the prior Board authorization adopted in 2022, which provided the same repurchase authority to the Company with only minor administrative differences. We substantively have had the same share repurchase authority since 2004, and this authority includes the 2026 calendar year. No specific repurchase schedule has been established. The authority does not obligate the Company to purchase a minimum number of shares.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Performance Graph</w:t>
      </w:r>
    </w:p>
    <w:p>
      <w:pPr>
        <w:spacing w:after="0" w:line="115" w:lineRule="exact"/>
        <w:rPr>
          <w:sz w:val="20"/>
          <w:szCs w:val="20"/>
          <w:color w:val="auto"/>
        </w:rPr>
      </w:pPr>
    </w:p>
    <w:p>
      <w:pPr>
        <w:ind w:firstLine="402"/>
        <w:spacing w:after="0" w:line="235" w:lineRule="auto"/>
        <w:rPr>
          <w:sz w:val="20"/>
          <w:szCs w:val="20"/>
          <w:color w:val="auto"/>
        </w:rPr>
      </w:pPr>
      <w:r>
        <w:rPr>
          <w:rFonts w:ascii="Arial" w:cs="Arial" w:eastAsia="Arial" w:hAnsi="Arial"/>
          <w:sz w:val="18"/>
          <w:szCs w:val="18"/>
          <w:color w:val="auto"/>
        </w:rPr>
        <w:t>The following graph and table below show the cumulative total shareholder return for five years for the Company’s common stock (LEG), the S&amp;P SmallCap 600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index, and our Peer Group index. The comparison assumes that $100 was invested on December 31, 2020 in shares of LEG and in each of the indices, and assumes that all of the dividends were reinvested. We measure the Company's relative performance against the S&amp;P SmallCap 600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index, of which the Company is included, and against our Peer Group Index. The Company has selected a Peer Group of manufacturing companies that aligns with the Company's current end market exposure, macroeconomic sensitivity, and capital discipline. Our Peer Group includes: AMETEK, Inc. (AME), Core &amp; Main, Inc. (CNM), Fortune Brands Innovations, Inc. (FBIN), Gentherm Incorporated (THRM), La-Z-Boy Incorporated (LZB), Lear Corporation (LEA), Masco Corporation (MAS), MillerKnoll, Inc. (MLKN), Mohawk Industries, Inc. (MHK), and Somnigroup International Inc. (SGI).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60325</wp:posOffset>
            </wp:positionV>
            <wp:extent cx="3404870" cy="255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04870"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320" w:type="dxa"/>
        <w:tblCellMar>
          <w:top w:w="0" w:type="dxa"/>
          <w:left w:w="0" w:type="dxa"/>
          <w:bottom w:w="0" w:type="dxa"/>
          <w:right w:w="0" w:type="dxa"/>
        </w:tblCellMar>
      </w:tblPr>
      <w:tr>
        <w:trPr>
          <w:trHeight w:val="233"/>
        </w:trPr>
        <w:tc>
          <w:tcPr>
            <w:tcW w:w="19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w w:val="98"/>
              </w:rPr>
              <w:t>For the Years Ended</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r>
      <w:tr>
        <w:trPr>
          <w:trHeight w:val="221"/>
        </w:trPr>
        <w:tc>
          <w:tcPr>
            <w:tcW w:w="19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2025</w:t>
            </w:r>
          </w:p>
        </w:tc>
      </w:tr>
      <w:tr>
        <w:trPr>
          <w:trHeight w:val="221"/>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LEG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1920" w:type="dxa"/>
            <w:vAlign w:val="bottom"/>
          </w:tcPr>
          <w:p>
            <w:pPr>
              <w:spacing w:after="0" w:line="228" w:lineRule="exact"/>
              <w:rPr>
                <w:sz w:val="20"/>
                <w:szCs w:val="20"/>
                <w:color w:val="auto"/>
              </w:rPr>
            </w:pPr>
            <w:r>
              <w:rPr>
                <w:rFonts w:ascii="Arial" w:cs="Arial" w:eastAsia="Arial" w:hAnsi="Arial"/>
                <w:sz w:val="18"/>
                <w:szCs w:val="18"/>
                <w:color w:val="auto"/>
              </w:rPr>
              <w:t xml:space="preserve">S&amp;P SmallCap 600 </w:t>
            </w:r>
            <w:r>
              <w:rPr>
                <w:rFonts w:ascii="Arial" w:cs="Arial" w:eastAsia="Arial" w:hAnsi="Arial"/>
                <w:sz w:val="23"/>
                <w:szCs w:val="23"/>
                <w:color w:val="auto"/>
                <w:vertAlign w:val="superscript"/>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8"/>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Peers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bl>
    <w:p>
      <w:pPr>
        <w:spacing w:after="0" w:line="169" w:lineRule="exact"/>
        <w:rPr>
          <w:sz w:val="20"/>
          <w:szCs w:val="20"/>
          <w:color w:val="auto"/>
        </w:rPr>
      </w:pPr>
    </w:p>
    <w:p>
      <w:pPr>
        <w:ind w:right="80" w:firstLine="402"/>
        <w:spacing w:after="0" w:line="257" w:lineRule="auto"/>
        <w:rPr>
          <w:sz w:val="20"/>
          <w:szCs w:val="20"/>
          <w:color w:val="auto"/>
        </w:rPr>
      </w:pPr>
      <w:r>
        <w:rPr>
          <w:rFonts w:ascii="Arial" w:cs="Arial" w:eastAsia="Arial" w:hAnsi="Arial"/>
          <w:sz w:val="18"/>
          <w:szCs w:val="18"/>
          <w:color w:val="auto"/>
        </w:rPr>
        <w:t>This Stock Performance Graph section does not constitute soliciting material, is not deemed filed with the Securities and Exchange Commission, is not subject to Regulation 14A or 14C of the Securities Exchange Act, as amended (the “Exchange Act”), and is not subject to the liabilities of Section 18 of the Exchange Act. Also, it is not incorporated by reference in any of our filings under the Securities Act of 1933 or the Exchange Act, whether made before or after the date of this Form 10-K and irrespective of any general incorporation language in any such filing, except to the extent we specifically incorporate this Stock Performance Graph section by reference therein.</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140"/>
        <w:spacing w:after="0" w:line="266"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Page No.</w:t>
            </w:r>
          </w:p>
        </w:tc>
      </w:tr>
      <w:tr>
        <w:trPr>
          <w:trHeight w:val="181"/>
        </w:trPr>
        <w:tc>
          <w:tcPr>
            <w:tcW w:w="4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w:t>
            </w:r>
          </w:p>
        </w:tc>
        <w:tc>
          <w:tcPr>
            <w:tcW w:w="7800" w:type="dxa"/>
            <w:vAlign w:val="bottom"/>
            <w:gridSpan w:val="7"/>
            <w:shd w:val="clear" w:color="auto" w:fill="CCEEFF"/>
          </w:tcPr>
          <w:p>
            <w:pPr>
              <w:spacing w:after="0" w:line="181" w:lineRule="exact"/>
              <w:rPr>
                <w:sz w:val="20"/>
                <w:szCs w:val="20"/>
                <w:color w:val="auto"/>
              </w:rPr>
            </w:pPr>
            <w:r>
              <w:rPr>
                <w:rFonts w:ascii="Arial" w:cs="Arial" w:eastAsia="Arial" w:hAnsi="Arial"/>
                <w:sz w:val="18"/>
                <w:szCs w:val="18"/>
                <w:color w:val="0000FF"/>
              </w:rPr>
              <w:t>Highlights</w:t>
            </w:r>
          </w:p>
        </w:tc>
        <w:tc>
          <w:tcPr>
            <w:tcW w:w="1180" w:type="dxa"/>
            <w:vAlign w:val="bottom"/>
            <w:gridSpan w:val="3"/>
            <w:shd w:val="clear" w:color="auto" w:fill="CCEEFF"/>
          </w:tcPr>
          <w:p>
            <w:pPr>
              <w:jc w:val="right"/>
              <w:ind w:right="20"/>
              <w:spacing w:after="0" w:line="181" w:lineRule="exact"/>
              <w:rPr>
                <w:sz w:val="20"/>
                <w:szCs w:val="20"/>
                <w:color w:val="auto"/>
              </w:rPr>
            </w:pPr>
            <w:r>
              <w:rPr>
                <w:rFonts w:ascii="Arial" w:cs="Arial" w:eastAsia="Arial" w:hAnsi="Arial"/>
                <w:sz w:val="18"/>
                <w:szCs w:val="18"/>
                <w:b w:val="1"/>
                <w:bCs w:val="1"/>
                <w:color w:val="0000FF"/>
              </w:rPr>
              <w:t>35</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88" w:lineRule="exact"/>
              <w:rPr>
                <w:sz w:val="20"/>
                <w:szCs w:val="20"/>
                <w:color w:val="auto"/>
              </w:rPr>
            </w:pPr>
            <w:r>
              <w:rPr>
                <w:rFonts w:ascii="Arial" w:cs="Arial" w:eastAsia="Arial" w:hAnsi="Arial"/>
                <w:sz w:val="18"/>
                <w:szCs w:val="18"/>
                <w:color w:val="0000FF"/>
              </w:rPr>
              <w:t>Introduction</w:t>
            </w: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36</w:t>
            </w:r>
          </w:p>
        </w:tc>
      </w:tr>
      <w:tr>
        <w:trPr>
          <w:trHeight w:val="20"/>
        </w:trPr>
        <w:tc>
          <w:tcPr>
            <w:tcW w:w="40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shd w:val="clear" w:color="auto" w:fill="CCEEFF"/>
          </w:tcPr>
          <w:p>
            <w:pPr>
              <w:spacing w:after="0" w:line="188" w:lineRule="exact"/>
              <w:rPr>
                <w:sz w:val="20"/>
                <w:szCs w:val="20"/>
                <w:color w:val="auto"/>
              </w:rPr>
            </w:pPr>
            <w:r>
              <w:rPr>
                <w:rFonts w:ascii="Arial" w:cs="Arial" w:eastAsia="Arial" w:hAnsi="Arial"/>
                <w:sz w:val="18"/>
                <w:szCs w:val="18"/>
                <w:color w:val="0000FF"/>
              </w:rPr>
              <w:t xml:space="preserve">Results of Operations </w:t>
            </w:r>
            <w:r>
              <w:rPr>
                <w:rFonts w:ascii="Arial" w:cs="Arial" w:eastAsia="Arial" w:hAnsi="Arial"/>
                <w:sz w:val="18"/>
                <w:szCs w:val="18"/>
                <w:color w:val="000000"/>
              </w:rPr>
              <w:t>2025 vs 2024</w:t>
            </w:r>
          </w:p>
        </w:tc>
        <w:tc>
          <w:tcPr>
            <w:tcW w:w="1180" w:type="dxa"/>
            <w:vAlign w:val="bottom"/>
            <w:gridSpan w:val="3"/>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44</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88" w:lineRule="exact"/>
              <w:rPr>
                <w:sz w:val="20"/>
                <w:szCs w:val="20"/>
                <w:color w:val="auto"/>
              </w:rPr>
            </w:pPr>
            <w:r>
              <w:rPr>
                <w:rFonts w:ascii="Arial" w:cs="Arial" w:eastAsia="Arial" w:hAnsi="Arial"/>
                <w:sz w:val="18"/>
                <w:szCs w:val="18"/>
                <w:color w:val="0000FF"/>
              </w:rPr>
              <w:t xml:space="preserve">Results of Operations </w:t>
            </w:r>
            <w:r>
              <w:rPr>
                <w:rFonts w:ascii="Arial" w:cs="Arial" w:eastAsia="Arial" w:hAnsi="Arial"/>
                <w:sz w:val="18"/>
                <w:szCs w:val="18"/>
                <w:color w:val="000000"/>
              </w:rPr>
              <w:t>2024 vs 2023</w:t>
            </w: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48</w:t>
            </w:r>
          </w:p>
        </w:tc>
      </w:tr>
      <w:tr>
        <w:trPr>
          <w:trHeight w:val="20"/>
        </w:trPr>
        <w:tc>
          <w:tcPr>
            <w:tcW w:w="40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shd w:val="clear" w:color="auto" w:fill="CCEEFF"/>
          </w:tcPr>
          <w:p>
            <w:pPr>
              <w:spacing w:after="0" w:line="188" w:lineRule="exact"/>
              <w:rPr>
                <w:sz w:val="20"/>
                <w:szCs w:val="20"/>
                <w:color w:val="auto"/>
              </w:rPr>
            </w:pPr>
            <w:r>
              <w:rPr>
                <w:rFonts w:ascii="Arial" w:cs="Arial" w:eastAsia="Arial" w:hAnsi="Arial"/>
                <w:sz w:val="18"/>
                <w:szCs w:val="18"/>
                <w:color w:val="0000FF"/>
              </w:rPr>
              <w:t>Liquidity and Capitalization</w:t>
            </w:r>
          </w:p>
        </w:tc>
        <w:tc>
          <w:tcPr>
            <w:tcW w:w="1180" w:type="dxa"/>
            <w:vAlign w:val="bottom"/>
            <w:gridSpan w:val="3"/>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51</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88" w:lineRule="exact"/>
              <w:rPr>
                <w:sz w:val="20"/>
                <w:szCs w:val="20"/>
                <w:color w:val="auto"/>
              </w:rPr>
            </w:pPr>
            <w:r>
              <w:rPr>
                <w:rFonts w:ascii="Arial" w:cs="Arial" w:eastAsia="Arial" w:hAnsi="Arial"/>
                <w:sz w:val="18"/>
                <w:szCs w:val="18"/>
                <w:color w:val="0000FF"/>
              </w:rPr>
              <w:t>Critical Accounting Policies and Estimates</w:t>
            </w: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59</w:t>
            </w:r>
          </w:p>
        </w:tc>
      </w:tr>
      <w:tr>
        <w:trPr>
          <w:trHeight w:val="20"/>
        </w:trPr>
        <w:tc>
          <w:tcPr>
            <w:tcW w:w="40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0000FF"/>
                <w:w w:val="98"/>
              </w:rPr>
              <w:t>Contingencies</w:t>
            </w:r>
          </w:p>
        </w:tc>
        <w:tc>
          <w:tcPr>
            <w:tcW w:w="6660" w:type="dxa"/>
            <w:vAlign w:val="bottom"/>
            <w:gridSpan w:val="4"/>
            <w:shd w:val="clear" w:color="auto" w:fill="CCEEFF"/>
          </w:tcPr>
          <w:p>
            <w:pPr>
              <w:spacing w:after="0"/>
              <w:rPr>
                <w:sz w:val="16"/>
                <w:szCs w:val="16"/>
                <w:color w:val="auto"/>
              </w:rPr>
            </w:pPr>
          </w:p>
        </w:tc>
        <w:tc>
          <w:tcPr>
            <w:tcW w:w="1180" w:type="dxa"/>
            <w:vAlign w:val="bottom"/>
            <w:gridSpan w:val="3"/>
            <w:shd w:val="clear" w:color="auto" w:fill="CCEEFF"/>
          </w:tcPr>
          <w:p>
            <w:pPr>
              <w:jc w:val="right"/>
              <w:ind w:right="20"/>
              <w:spacing w:after="0" w:line="188" w:lineRule="exact"/>
              <w:rPr>
                <w:sz w:val="20"/>
                <w:szCs w:val="20"/>
                <w:color w:val="auto"/>
              </w:rPr>
            </w:pPr>
            <w:r>
              <w:rPr>
                <w:rFonts w:ascii="Arial" w:cs="Arial" w:eastAsia="Arial" w:hAnsi="Arial"/>
                <w:sz w:val="18"/>
                <w:szCs w:val="18"/>
                <w:b w:val="1"/>
                <w:bCs w:val="1"/>
                <w:color w:val="0000FF"/>
              </w:rPr>
              <w:t>61</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400" w:type="dxa"/>
            <w:vAlign w:val="bottom"/>
          </w:tcPr>
          <w:p>
            <w:pPr>
              <w:ind w:left="20"/>
              <w:spacing w:after="0" w:line="188" w:lineRule="exact"/>
              <w:rPr>
                <w:sz w:val="20"/>
                <w:szCs w:val="20"/>
                <w:color w:val="auto"/>
              </w:rPr>
            </w:pPr>
            <w:r>
              <w:rPr>
                <w:rFonts w:ascii="Arial" w:cs="Arial" w:eastAsia="Arial" w:hAnsi="Arial"/>
                <w:sz w:val="18"/>
                <w:szCs w:val="18"/>
                <w:color w:val="auto"/>
              </w:rPr>
              <w:t>•</w:t>
            </w:r>
          </w:p>
        </w:tc>
        <w:tc>
          <w:tcPr>
            <w:tcW w:w="2160" w:type="dxa"/>
            <w:vAlign w:val="bottom"/>
            <w:gridSpan w:val="5"/>
          </w:tcPr>
          <w:p>
            <w:pPr>
              <w:spacing w:after="0" w:line="188" w:lineRule="exact"/>
              <w:rPr>
                <w:sz w:val="20"/>
                <w:szCs w:val="20"/>
                <w:color w:val="auto"/>
              </w:rPr>
            </w:pPr>
            <w:r>
              <w:rPr>
                <w:rFonts w:ascii="Arial" w:cs="Arial" w:eastAsia="Arial" w:hAnsi="Arial"/>
                <w:sz w:val="18"/>
                <w:szCs w:val="18"/>
                <w:color w:val="0000FF"/>
                <w:w w:val="97"/>
              </w:rPr>
              <w:t>New Accounting Standards</w:t>
            </w:r>
          </w:p>
        </w:tc>
        <w:tc>
          <w:tcPr>
            <w:tcW w:w="5640" w:type="dxa"/>
            <w:vAlign w:val="bottom"/>
            <w:gridSpan w:val="2"/>
          </w:tcPr>
          <w:p>
            <w:pPr>
              <w:spacing w:after="0"/>
              <w:rPr>
                <w:sz w:val="16"/>
                <w:szCs w:val="16"/>
                <w:color w:val="auto"/>
              </w:rPr>
            </w:pPr>
          </w:p>
        </w:tc>
        <w:tc>
          <w:tcPr>
            <w:tcW w:w="1180" w:type="dxa"/>
            <w:vAlign w:val="bottom"/>
            <w:gridSpan w:val="3"/>
          </w:tcPr>
          <w:p>
            <w:pPr>
              <w:jc w:val="right"/>
              <w:ind w:right="20"/>
              <w:spacing w:after="0" w:line="188" w:lineRule="exact"/>
              <w:rPr>
                <w:sz w:val="20"/>
                <w:szCs w:val="20"/>
                <w:color w:val="auto"/>
              </w:rPr>
            </w:pPr>
            <w:r>
              <w:rPr>
                <w:rFonts w:ascii="Arial" w:cs="Arial" w:eastAsia="Arial" w:hAnsi="Arial"/>
                <w:sz w:val="18"/>
                <w:szCs w:val="18"/>
                <w:b w:val="1"/>
                <w:bCs w:val="1"/>
                <w:color w:val="0000FF"/>
              </w:rPr>
              <w:t>64</w:t>
            </w:r>
          </w:p>
        </w:tc>
      </w:tr>
      <w:tr>
        <w:trPr>
          <w:trHeight w:val="20"/>
        </w:trPr>
        <w:tc>
          <w:tcPr>
            <w:tcW w:w="4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HIGHLIGHTS</w:t>
      </w:r>
    </w:p>
    <w:p>
      <w:pPr>
        <w:spacing w:after="0" w:line="75"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(Dollar amounts in millions, except for per share data)</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50"/>
        </w:trPr>
        <w:tc>
          <w:tcPr>
            <w:tcW w:w="5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trade sales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28"/>
        </w:trPr>
        <w:tc>
          <w:tcPr>
            <w:tcW w:w="5020" w:type="dxa"/>
            <w:vAlign w:val="bottom"/>
          </w:tcPr>
          <w:p>
            <w:pPr>
              <w:ind w:left="340"/>
              <w:spacing w:after="0"/>
              <w:rPr>
                <w:sz w:val="20"/>
                <w:szCs w:val="20"/>
                <w:color w:val="auto"/>
              </w:rPr>
            </w:pPr>
            <w:r>
              <w:rPr>
                <w:rFonts w:ascii="Arial" w:cs="Arial" w:eastAsia="Arial" w:hAnsi="Arial"/>
                <w:sz w:val="18"/>
                <w:szCs w:val="18"/>
                <w:color w:val="auto"/>
              </w:rPr>
              <w:t>Earnings (loss) before interest and taxes (EBIT)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from operations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6"/>
        </w:trPr>
        <w:tc>
          <w:tcPr>
            <w:tcW w:w="502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60" w:firstLine="402"/>
        <w:spacing w:after="0" w:line="265" w:lineRule="auto"/>
        <w:rPr>
          <w:sz w:val="20"/>
          <w:szCs w:val="20"/>
          <w:color w:val="auto"/>
        </w:rPr>
      </w:pPr>
      <w:r>
        <w:rPr>
          <w:rFonts w:ascii="Arial" w:cs="Arial" w:eastAsia="Arial" w:hAnsi="Arial"/>
          <w:sz w:val="18"/>
          <w:szCs w:val="18"/>
          <w:color w:val="auto"/>
        </w:rPr>
        <w:t>Trade sales decreased 7% in 2025. Divestitures reduced sales 2%. Organic sales decreased 5%, with volume declines of 6% partially offset by raw material-related selling price increases and currency benefit of 1%. 2024 trade sales decreased 7%. Organic sales decreased 7% with volume declines of 4% and raw material-related price decreases of 3%.</w:t>
      </w:r>
    </w:p>
    <w:p>
      <w:pPr>
        <w:spacing w:after="0" w:line="38" w:lineRule="exact"/>
        <w:rPr>
          <w:sz w:val="20"/>
          <w:szCs w:val="20"/>
          <w:color w:val="auto"/>
        </w:rPr>
      </w:pPr>
    </w:p>
    <w:p>
      <w:pPr>
        <w:ind w:right="140" w:firstLine="402"/>
        <w:spacing w:after="0" w:line="257" w:lineRule="auto"/>
        <w:rPr>
          <w:sz w:val="20"/>
          <w:szCs w:val="20"/>
          <w:color w:val="auto"/>
        </w:rPr>
      </w:pPr>
      <w:r>
        <w:rPr>
          <w:rFonts w:ascii="Arial" w:cs="Arial" w:eastAsia="Arial" w:hAnsi="Arial"/>
          <w:sz w:val="18"/>
          <w:szCs w:val="18"/>
          <w:color w:val="auto"/>
        </w:rPr>
        <w:t>Earnings in 2025 increased primarily due to the year-over-year changes from the items listed below, as well as restructuring benefit and metal margin expansion, partially offset by lower volume. 2024 earnings decreased primarily due to the year-over-year changes from the items listed below, as well as lower volume and unfavorable sales mix, raw material-related pricing adjustments (primarily in our Bedding Products segment), metal margin compression in our Steel Rod business, and other higher expense items, such as bad debt and medical, partially offset by operational efficiency improvements.</w:t>
      </w:r>
    </w:p>
    <w:p>
      <w:pPr>
        <w:spacing w:after="0" w:line="98" w:lineRule="exact"/>
        <w:rPr>
          <w:sz w:val="20"/>
          <w:szCs w:val="20"/>
          <w:color w:val="auto"/>
        </w:rPr>
      </w:pPr>
    </w:p>
    <w:tbl>
      <w:tblPr>
        <w:tblLayout w:type="fixed"/>
        <w:tblInd w:w="1060" w:type="dxa"/>
        <w:tblCellMar>
          <w:top w:w="0" w:type="dxa"/>
          <w:left w:w="0" w:type="dxa"/>
          <w:bottom w:w="0" w:type="dxa"/>
          <w:right w:w="0" w:type="dxa"/>
        </w:tblCellMar>
      </w:tblPr>
      <w:tr>
        <w:trPr>
          <w:trHeight w:val="23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pretax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Aerospace Products Group</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Net gain from insurance proceeds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4"/>
        </w:trPr>
        <w:tc>
          <w:tcPr>
            <w:tcW w:w="6060" w:type="dxa"/>
            <w:vAlign w:val="bottom"/>
          </w:tcPr>
          <w:p>
            <w:pPr>
              <w:ind w:left="20"/>
              <w:spacing w:after="0" w:line="175" w:lineRule="exact"/>
              <w:rPr>
                <w:sz w:val="20"/>
                <w:szCs w:val="20"/>
                <w:color w:val="auto"/>
              </w:rPr>
            </w:pPr>
            <w:r>
              <w:rPr>
                <w:rFonts w:ascii="Arial" w:cs="Arial" w:eastAsia="Arial" w:hAnsi="Arial"/>
                <w:sz w:val="18"/>
                <w:szCs w:val="18"/>
                <w:color w:val="auto"/>
              </w:rPr>
              <w:t>Restructuring, restructuring-related, and impairment charges ($23 and $17</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8"/>
                <w:szCs w:val="18"/>
                <w:color w:val="auto"/>
              </w:rPr>
              <w:t>non-cash in 2025 and 2024, respectively)</w:t>
            </w: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 (non-cash)</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Somnigroup unsolicited offer evaluation costs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(non-cash)</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CEO transition compensation costs</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 (non-cash)</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1"/>
        </w:trPr>
        <w:tc>
          <w:tcPr>
            <w:tcW w:w="6060" w:type="dxa"/>
            <w:vAlign w:val="bottom"/>
          </w:tcPr>
          <w:p>
            <w:pPr>
              <w:ind w:left="220"/>
              <w:spacing w:after="0" w:line="221"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5"/>
                <w:szCs w:val="25"/>
                <w:b w:val="1"/>
                <w:bCs w:val="1"/>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060"/>
        <w:spacing w:after="0"/>
        <w:rPr>
          <w:sz w:val="20"/>
          <w:szCs w:val="20"/>
          <w:color w:val="auto"/>
        </w:rPr>
      </w:pPr>
      <w:r>
        <w:rPr>
          <w:rFonts w:ascii="Arial" w:cs="Arial" w:eastAsia="Arial" w:hAnsi="Arial"/>
          <w:sz w:val="27"/>
          <w:szCs w:val="27"/>
          <w:b w:val="1"/>
          <w:bCs w:val="1"/>
          <w:color w:val="auto"/>
          <w:vertAlign w:val="superscript"/>
        </w:rPr>
        <w:t>1</w:t>
      </w:r>
      <w:r>
        <w:rPr>
          <w:rFonts w:ascii="Arial" w:cs="Arial" w:eastAsia="Arial" w:hAnsi="Arial"/>
          <w:sz w:val="18"/>
          <w:szCs w:val="18"/>
          <w:color w:val="auto"/>
        </w:rPr>
        <w:t xml:space="preserve"> Calculations impacted by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402"/>
        <w:spacing w:after="0" w:line="312" w:lineRule="auto"/>
        <w:rPr>
          <w:sz w:val="20"/>
          <w:szCs w:val="20"/>
          <w:color w:val="auto"/>
        </w:rPr>
      </w:pPr>
      <w:r>
        <w:rPr>
          <w:rFonts w:ascii="Arial" w:cs="Arial" w:eastAsia="Arial" w:hAnsi="Arial"/>
          <w:sz w:val="17"/>
          <w:szCs w:val="17"/>
          <w:color w:val="auto"/>
        </w:rPr>
        <w:t>In 2025, we generated $338 million in cash from operations compared to $306 million in 2024. The increase was driven primarily by working capital improvements. Cash from operations in 2024 decreased primarily from lower earnings and less benefit from working capital.</w:t>
      </w:r>
    </w:p>
    <w:p>
      <w:pPr>
        <w:spacing w:after="0" w:line="15" w:lineRule="exact"/>
        <w:rPr>
          <w:sz w:val="20"/>
          <w:szCs w:val="20"/>
          <w:color w:val="auto"/>
        </w:rPr>
      </w:pPr>
    </w:p>
    <w:p>
      <w:pPr>
        <w:ind w:right="460" w:firstLine="402"/>
        <w:spacing w:after="0" w:line="282" w:lineRule="auto"/>
        <w:rPr>
          <w:sz w:val="20"/>
          <w:szCs w:val="20"/>
          <w:color w:val="auto"/>
        </w:rPr>
      </w:pPr>
      <w:r>
        <w:rPr>
          <w:rFonts w:ascii="Arial" w:cs="Arial" w:eastAsia="Arial" w:hAnsi="Arial"/>
          <w:sz w:val="18"/>
          <w:szCs w:val="18"/>
          <w:color w:val="auto"/>
        </w:rPr>
        <w:t>In July 2025, we amended our credit agreement to extend the maturity date to 2030 and reduce the lending commitments from $1.2 billion to $1.0 billion.</w:t>
      </w:r>
    </w:p>
    <w:p>
      <w:pPr>
        <w:spacing w:after="0" w:line="23" w:lineRule="exact"/>
        <w:rPr>
          <w:sz w:val="20"/>
          <w:szCs w:val="20"/>
          <w:color w:val="auto"/>
        </w:rPr>
      </w:pPr>
    </w:p>
    <w:p>
      <w:pPr>
        <w:jc w:val="both"/>
        <w:ind w:right="340" w:firstLine="402"/>
        <w:spacing w:after="0" w:line="265" w:lineRule="auto"/>
        <w:rPr>
          <w:sz w:val="20"/>
          <w:szCs w:val="20"/>
          <w:color w:val="auto"/>
        </w:rPr>
      </w:pPr>
      <w:r>
        <w:rPr>
          <w:rFonts w:ascii="Arial" w:cs="Arial" w:eastAsia="Arial" w:hAnsi="Arial"/>
          <w:sz w:val="18"/>
          <w:szCs w:val="18"/>
          <w:color w:val="auto"/>
        </w:rPr>
        <w:t>On August 29, 2025, we divested our Aerospace Products Group (within our Specialized Products segment) for net cash proceeds of $280 million and recognized a pretax gain of $91 million after final adjustments for working capital were completed in December 2025. We collected the final working capital adjustment of $4 million in January 2026.</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topics are discussed in more detail in the sections that follow.</w:t>
      </w:r>
    </w:p>
    <w:p>
      <w:pPr>
        <w:spacing w:after="0" w:line="1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INTRODUCTION</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Somnigroup Discussions</w:t>
      </w:r>
    </w:p>
    <w:p>
      <w:pPr>
        <w:spacing w:after="0" w:line="115" w:lineRule="exact"/>
        <w:rPr>
          <w:sz w:val="20"/>
          <w:szCs w:val="20"/>
          <w:color w:val="auto"/>
        </w:rPr>
      </w:pPr>
    </w:p>
    <w:p>
      <w:pPr>
        <w:ind w:right="40" w:firstLine="402"/>
        <w:spacing w:after="0" w:line="253" w:lineRule="auto"/>
        <w:rPr>
          <w:sz w:val="20"/>
          <w:szCs w:val="20"/>
          <w:color w:val="auto"/>
        </w:rPr>
      </w:pPr>
      <w:r>
        <w:rPr>
          <w:rFonts w:ascii="Arial" w:cs="Arial" w:eastAsia="Arial" w:hAnsi="Arial"/>
          <w:sz w:val="18"/>
          <w:szCs w:val="18"/>
          <w:color w:val="auto"/>
        </w:rPr>
        <w:t>In December 2025, we announced the Company received an unsolicited proposal from Somnigroup International Inc. (Somnigroup) to acquire the Company in an all-stock transaction. In January 2026, our Board of Directors, in consultation with its financial and legal advisors, announced that it had determined that the Somnigroup offer undervalues the Company and publicly declined the Somnigroup proposal. Our Board also publicly announced that it has entered into a customary non-disclosure agreement and six month standstill with Somnigroup to facilitate customary due diligence and to determine if a transaction can be reached that delivers appropriate value and certainty to the Company and its shareholders. There can be no assurance that the Board's evaluation will result in a transaction and, if there is a transaction, the price, form of consideration, or other terms and conditions of any such transaction. We incurred $3 million of professional costs associated with this activity through December 31, 2025.</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Customers</w:t>
      </w:r>
    </w:p>
    <w:p>
      <w:pPr>
        <w:spacing w:after="0" w:line="40" w:lineRule="exact"/>
        <w:rPr>
          <w:sz w:val="20"/>
          <w:szCs w:val="20"/>
          <w:color w:val="auto"/>
        </w:rPr>
      </w:pPr>
    </w:p>
    <w:p>
      <w:pPr>
        <w:ind w:right="180" w:firstLine="402"/>
        <w:spacing w:after="0" w:line="239" w:lineRule="auto"/>
        <w:rPr>
          <w:sz w:val="20"/>
          <w:szCs w:val="20"/>
          <w:color w:val="auto"/>
        </w:rPr>
      </w:pPr>
      <w:r>
        <w:rPr>
          <w:rFonts w:ascii="Arial" w:cs="Arial" w:eastAsia="Arial" w:hAnsi="Arial"/>
          <w:sz w:val="18"/>
          <w:szCs w:val="18"/>
          <w:color w:val="auto"/>
        </w:rPr>
        <w:t>We serve a broad suite of customers, with our largest customer representing approximately 7% of our trade sales in 2025. Many are companies whose names are widely recognized. They include bedding brands and manufacturers, residential and office furniture producers, automotive OEM and Tier 1 manufacturers, big box retailers, and a variety of other companies.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Organic Sales</w:t>
      </w:r>
    </w:p>
    <w:p>
      <w:pPr>
        <w:spacing w:after="0" w:line="115"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We calculate organic sales as trade sales excluding sales attributable to acquisitions and divestitures consummated within the last twelve months. Management uses the metric, and it is useful to investors, as supplemental information to analyze our underlying sales performance from period to period in our legacy businesses.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Major Factors That Impact Our Business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Tariffs Impacting our Business</w:t>
      </w:r>
    </w:p>
    <w:p>
      <w:pPr>
        <w:spacing w:after="0" w:line="103" w:lineRule="exact"/>
        <w:rPr>
          <w:sz w:val="20"/>
          <w:szCs w:val="20"/>
          <w:color w:val="auto"/>
        </w:rPr>
      </w:pPr>
    </w:p>
    <w:p>
      <w:pPr>
        <w:jc w:val="both"/>
        <w:ind w:firstLine="402"/>
        <w:spacing w:after="0" w:line="257" w:lineRule="auto"/>
        <w:rPr>
          <w:sz w:val="20"/>
          <w:szCs w:val="20"/>
          <w:color w:val="auto"/>
        </w:rPr>
      </w:pPr>
      <w:r>
        <w:rPr>
          <w:rFonts w:ascii="Arial" w:cs="Arial" w:eastAsia="Arial" w:hAnsi="Arial"/>
          <w:sz w:val="18"/>
          <w:szCs w:val="18"/>
          <w:color w:val="auto"/>
        </w:rPr>
        <w:t>We continue to monitor and evaluate policy changes impacting global trade, including tariff regulations, the effects of announced tariffs, the judicial invalidation of certain tariffs, and the potential imposition of modified or additional tariffs. These policy changes create uncertainty regarding the scope, duration, and financial impact of tariffs, as well as the potential refund of duties previously paid for invalidated tariffs. It is possible that wide-ranging tariffs could drive inflation, weaken consumer confidence, and ultimately reduce consumer demand for our products and negatively impact our consolidated results of operations.</w:t>
      </w:r>
    </w:p>
    <w:p>
      <w:pPr>
        <w:spacing w:after="0" w:line="45" w:lineRule="exact"/>
        <w:rPr>
          <w:sz w:val="20"/>
          <w:szCs w:val="20"/>
          <w:color w:val="auto"/>
        </w:rPr>
      </w:pPr>
    </w:p>
    <w:p>
      <w:pPr>
        <w:jc w:val="both"/>
        <w:ind w:right="240" w:firstLine="402"/>
        <w:spacing w:after="0" w:line="265" w:lineRule="auto"/>
        <w:rPr>
          <w:sz w:val="20"/>
          <w:szCs w:val="20"/>
          <w:color w:val="auto"/>
        </w:rPr>
      </w:pPr>
      <w:r>
        <w:rPr>
          <w:rFonts w:ascii="Arial" w:cs="Arial" w:eastAsia="Arial" w:hAnsi="Arial"/>
          <w:sz w:val="18"/>
          <w:szCs w:val="18"/>
          <w:color w:val="auto"/>
        </w:rPr>
        <w:t>Tariffs present both positive and negative impacts across our businesses and we continue to be actively engaged with customers and suppliers to mitigate the impact of tariffs. Our efforts include leveraging our global footprint to shift production and sourcing to less-impacted regions, implementing pricing actions where appropriate, and pursuing increased demand opportunities domestically.</w:t>
      </w:r>
    </w:p>
    <w:p>
      <w:pPr>
        <w:spacing w:after="0" w:line="52" w:lineRule="exact"/>
        <w:rPr>
          <w:sz w:val="20"/>
          <w:szCs w:val="20"/>
          <w:color w:val="auto"/>
        </w:rPr>
      </w:pPr>
    </w:p>
    <w:p>
      <w:pPr>
        <w:jc w:val="both"/>
        <w:ind w:right="80" w:firstLine="402"/>
        <w:spacing w:after="0" w:line="265" w:lineRule="auto"/>
        <w:rPr>
          <w:sz w:val="20"/>
          <w:szCs w:val="20"/>
          <w:color w:val="auto"/>
        </w:rPr>
      </w:pPr>
      <w:r>
        <w:rPr>
          <w:rFonts w:ascii="Arial" w:cs="Arial" w:eastAsia="Arial" w:hAnsi="Arial"/>
          <w:sz w:val="18"/>
          <w:szCs w:val="18"/>
          <w:color w:val="auto"/>
        </w:rPr>
        <w:t>In Bedding Products, Section 232 steel tariffs have had the largest impact on our business and have led to expanded metal margins and increased demand for our Steel Rod and Drawn Wire operations, but we have yet to see noticeable improvement in our innerspring demand. Section 232 steel tariffs were not impacted by the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recent Supreme Court ruling invalidating certain tariffs previously imposed under the International Emergency Economic Powers Act.</w:t>
      </w:r>
    </w:p>
    <w:p>
      <w:pPr>
        <w:spacing w:after="0" w:line="88" w:lineRule="exact"/>
        <w:rPr>
          <w:sz w:val="20"/>
          <w:szCs w:val="20"/>
          <w:color w:val="auto"/>
        </w:rPr>
      </w:pPr>
    </w:p>
    <w:p>
      <w:pPr>
        <w:ind w:right="100" w:firstLine="402"/>
        <w:spacing w:after="0" w:line="259" w:lineRule="auto"/>
        <w:rPr>
          <w:sz w:val="20"/>
          <w:szCs w:val="20"/>
          <w:color w:val="auto"/>
        </w:rPr>
      </w:pPr>
      <w:r>
        <w:rPr>
          <w:rFonts w:ascii="Arial" w:cs="Arial" w:eastAsia="Arial" w:hAnsi="Arial"/>
          <w:sz w:val="18"/>
          <w:szCs w:val="18"/>
          <w:color w:val="auto"/>
        </w:rPr>
        <w:t>In late 2025, we consolidated our Kentucky Adjustable Bed manufacturing operation into our Mexico operation. This decision was driven by lower volume and tariffs on imported components, which resulted in a cost disadvantage for domestic production in a category that primarily competes with imported products. We expect our Mexican Adjustable Bed operation to remain cost competitive, assuming that the reciprocal tariff exemption for USMCA compliant products remains in place.</w:t>
      </w:r>
    </w:p>
    <w:p>
      <w:pPr>
        <w:spacing w:after="0" w:line="58"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In Furniture, Flooring &amp; Textile Products, our Home Furniture operations in China primarily sell components to Asian customers who export finished furniture to the United States. Our Chinese operations experienced meaningful disruptions early in the second quarter of 2025, including shipment delays, order cancellations, and customer shutdowns, which began to normalize later in the quarter with the postponement of tariffs. Additionally, we sell components to U.S. customers and maintain some intercompany supply from our Chinese operations. To help mitigate our tariff exposure, we set up production in Vietnam and began production late in the third quarter. Within Work Furniture, our teams are pursuing new opportunities with customers who are seeking regionally-supplied finished furniture and components. Finally, our Textile business continues to mitigate most tariff exposure by shifting to alternative sources in countries with lower tariff rates.</w:t>
      </w:r>
    </w:p>
    <w:p>
      <w:pPr>
        <w:spacing w:after="0" w:line="62"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We continue to actively evaluate the potential impact of tariffs and counter-tariffs on our results of operations and financial condition, while also exploring possible opportunities to mitigate their impact. Although our analysis is based on limited and changing information, we currently do not expect tariffs, as presently implemented or anticipated, to have a material adverse effect on our consolidated results of operations. However, if tariffs are further invalidated, modified or expanded, additional tariffs are implemented, or our information is incorrect, our consolidated results of operations could be materially negatively impacted. Moreover, tariffs may decrease demand for our products which may negatively impact our sales and results of operations.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Sale of the Aerospace Products Group</w:t>
      </w:r>
    </w:p>
    <w:p>
      <w:pPr>
        <w:spacing w:after="0" w:line="103" w:lineRule="exact"/>
        <w:rPr>
          <w:sz w:val="20"/>
          <w:szCs w:val="20"/>
          <w:color w:val="auto"/>
        </w:rPr>
      </w:pPr>
    </w:p>
    <w:p>
      <w:pPr>
        <w:jc w:val="both"/>
        <w:ind w:right="100" w:firstLine="402"/>
        <w:spacing w:after="0" w:line="265" w:lineRule="auto"/>
        <w:rPr>
          <w:sz w:val="20"/>
          <w:szCs w:val="20"/>
          <w:color w:val="auto"/>
        </w:rPr>
      </w:pPr>
      <w:r>
        <w:rPr>
          <w:rFonts w:ascii="Arial" w:cs="Arial" w:eastAsia="Arial" w:hAnsi="Arial"/>
          <w:sz w:val="18"/>
          <w:szCs w:val="18"/>
          <w:color w:val="auto"/>
        </w:rPr>
        <w:t>Late in the first quarter 2025, the Aerospace Products Group (within our Specialized Products segment) met the criteria to be classified as held for sale, but did not meet the criteria for discontinued operations because it did not represent a strategic shift that would have a major effect on our financial results.</w:t>
      </w:r>
    </w:p>
    <w:p>
      <w:pPr>
        <w:spacing w:after="0" w:line="52"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color w:val="auto"/>
        </w:rPr>
        <w:t>On August 29, 2025, we divested the Aerospace Products Group for a cash price, net of selling expenses and cash sold, of $280 million and recognized a pretax gain of $91 million after final adjustments for working capital were completed in December 2025. We collected the final working capital adjustment of $4 million in January 2026. The proceeds from the sale were primarily used to reduce debt. Our Aerospace Products Group was a supplier of complex, highly-engineered tube and duct assemblies for use primarily in commercial and military aircraft platforms and space launch vehicles. The business was comprised of seven manufacturing facilities located in the United States, the United Kingdom, and France, with approximately 700 employees at the time of the sale.</w:t>
      </w:r>
    </w:p>
    <w:p>
      <w:pPr>
        <w:spacing w:after="0" w:line="48" w:lineRule="exact"/>
        <w:rPr>
          <w:sz w:val="20"/>
          <w:szCs w:val="20"/>
          <w:color w:val="auto"/>
        </w:rPr>
      </w:pPr>
    </w:p>
    <w:p>
      <w:pPr>
        <w:ind w:right="360" w:firstLine="402"/>
        <w:spacing w:after="0" w:line="282" w:lineRule="auto"/>
        <w:rPr>
          <w:sz w:val="20"/>
          <w:szCs w:val="20"/>
          <w:color w:val="auto"/>
        </w:rPr>
      </w:pPr>
      <w:r>
        <w:rPr>
          <w:rFonts w:ascii="Arial" w:cs="Arial" w:eastAsia="Arial" w:hAnsi="Arial"/>
          <w:sz w:val="18"/>
          <w:szCs w:val="18"/>
          <w:color w:val="auto"/>
        </w:rPr>
        <w:t xml:space="preserve">For the Aerospace Products Group sales and pre-tax earnings through the divestiture date, see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to the Consolidated Financial Statements on page 121.</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Goodwill and Long-Lived Asset Impairment Testing</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Goodwill Impairment Testing</w:t>
      </w:r>
    </w:p>
    <w:p>
      <w:pPr>
        <w:spacing w:after="0" w:line="101"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A significant portion of our assets consists of goodwill and other long-lived assets, the carrying value of which may be reduced if we determine that those assets are impaired. At December 31, 2025, goodwill and other intangible assets represented $ 843 million, or 24% of our total assets. In addition, net property, plant and equipment, operating lease right-of-use assets, and other noncurrent assets assets totaled $950 million, or 27% of total assets.</w:t>
      </w:r>
    </w:p>
    <w:p>
      <w:pPr>
        <w:spacing w:after="0" w:line="45" w:lineRule="exact"/>
        <w:rPr>
          <w:sz w:val="20"/>
          <w:szCs w:val="20"/>
          <w:color w:val="auto"/>
        </w:rPr>
      </w:pPr>
    </w:p>
    <w:p>
      <w:pPr>
        <w:ind w:right="240" w:firstLine="402"/>
        <w:spacing w:after="0" w:line="259" w:lineRule="auto"/>
        <w:rPr>
          <w:sz w:val="20"/>
          <w:szCs w:val="20"/>
          <w:color w:val="auto"/>
        </w:rPr>
      </w:pPr>
      <w:r>
        <w:rPr>
          <w:rFonts w:ascii="Arial" w:cs="Arial" w:eastAsia="Arial" w:hAnsi="Arial"/>
          <w:sz w:val="18"/>
          <w:szCs w:val="18"/>
          <w:color w:val="auto"/>
        </w:rPr>
        <w:t>We test goodwill for impairment at the reporting unit level (the business groups that are one level below the operating segments) when triggering events occur or at least annually in the second quarter. We conduct impairment testing based on our current business strategy in light of present industry and economic conditions, as well as future expectations. In addition, our long-lived assets are reviewed for recoverability at year end and whenever events or changes in circumstances indicate carrying values may not be recoverable.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 xml:space="preserve">The annual goodwill impairment testing in the second quarter of 2025 indicated no impairments. As of June 30, 2025, the fair values of all reporting units exceeded their respective carrying amounts by less than 100% in part due to ongoing macroeconomic uncertainties, including uncertainty surrounding tariffs. The fair values of our reporting units were reconciled to our consolidated market capitalization, which decreased due to the decline in the stock price compared to the prior year. Fair value exceeded carrying value by less than 50% at June 30, 2025 for the reporting units summarized in the table below, which excludes the Aerospace Products Group divested in August 2025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to the Consolidated Financial Statements on page 121.</w:t>
      </w:r>
    </w:p>
    <w:p>
      <w:pPr>
        <w:spacing w:after="0" w:line="74"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Fair value in excess of</w:t>
            </w:r>
          </w:p>
        </w:tc>
      </w:tr>
      <w:tr>
        <w:trPr>
          <w:trHeight w:val="228"/>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Reporting Unit</w:t>
            </w:r>
          </w:p>
        </w:tc>
        <w:tc>
          <w:tcPr>
            <w:tcW w:w="12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December 31, 2025</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9"/>
              </w:rPr>
              <w:t>carrying value as of June</w:t>
            </w:r>
          </w:p>
        </w:tc>
      </w:tr>
      <w:tr>
        <w:trPr>
          <w:trHeight w:val="188"/>
        </w:trPr>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(Dollar amounts in millions)</w:t>
            </w:r>
          </w:p>
        </w:tc>
        <w:tc>
          <w:tcPr>
            <w:tcW w:w="120" w:type="dxa"/>
            <w:vAlign w:val="bottom"/>
          </w:tcPr>
          <w:p>
            <w:pPr>
              <w:spacing w:after="0"/>
              <w:rPr>
                <w:sz w:val="16"/>
                <w:szCs w:val="16"/>
                <w:color w:val="auto"/>
              </w:rPr>
            </w:pPr>
          </w:p>
        </w:tc>
        <w:tc>
          <w:tcPr>
            <w:tcW w:w="1860" w:type="dxa"/>
            <w:vAlign w:val="bottom"/>
            <w:gridSpan w:val="2"/>
          </w:tcPr>
          <w:p>
            <w:pPr>
              <w:jc w:val="center"/>
              <w:ind w:right="220"/>
              <w:spacing w:after="0" w:line="188" w:lineRule="exact"/>
              <w:rPr>
                <w:sz w:val="20"/>
                <w:szCs w:val="20"/>
                <w:color w:val="auto"/>
              </w:rPr>
            </w:pPr>
            <w:r>
              <w:rPr>
                <w:rFonts w:ascii="Arial" w:cs="Arial" w:eastAsia="Arial" w:hAnsi="Arial"/>
                <w:sz w:val="18"/>
                <w:szCs w:val="18"/>
                <w:b w:val="1"/>
                <w:bCs w:val="1"/>
                <w:color w:val="auto"/>
                <w:w w:val="99"/>
              </w:rPr>
              <w:t>Goodwill Value</w:t>
            </w:r>
          </w:p>
        </w:tc>
        <w:tc>
          <w:tcPr>
            <w:tcW w:w="236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9"/>
              </w:rPr>
              <w:t>30, 2025</w:t>
            </w:r>
          </w:p>
        </w:tc>
      </w:tr>
      <w:tr>
        <w:trPr>
          <w:trHeight w:val="221"/>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Bedding</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8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3260" w:type="dxa"/>
            <w:vAlign w:val="bottom"/>
            <w:gridSpan w:val="2"/>
          </w:tcPr>
          <w:p>
            <w:pPr>
              <w:spacing w:after="0"/>
              <w:rPr>
                <w:sz w:val="20"/>
                <w:szCs w:val="20"/>
                <w:color w:val="auto"/>
              </w:rPr>
            </w:pPr>
            <w:r>
              <w:rPr>
                <w:rFonts w:ascii="Arial" w:cs="Arial" w:eastAsia="Arial" w:hAnsi="Arial"/>
                <w:sz w:val="18"/>
                <w:szCs w:val="18"/>
                <w:color w:val="auto"/>
              </w:rPr>
              <w:t>Home Furniture</w:t>
            </w:r>
          </w:p>
        </w:tc>
        <w:tc>
          <w:tcPr>
            <w:tcW w:w="120" w:type="dxa"/>
            <w:vAlign w:val="bottom"/>
          </w:tcPr>
          <w:p>
            <w:pPr>
              <w:spacing w:after="0"/>
              <w:rPr>
                <w:sz w:val="19"/>
                <w:szCs w:val="19"/>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34</w:t>
            </w:r>
          </w:p>
        </w:tc>
      </w:tr>
      <w:tr>
        <w:trPr>
          <w:trHeight w:val="228"/>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 Furniture</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w:t>
            </w:r>
          </w:p>
        </w:tc>
      </w:tr>
    </w:tbl>
    <w:p>
      <w:pPr>
        <w:spacing w:after="0" w:line="155" w:lineRule="exact"/>
        <w:rPr>
          <w:sz w:val="20"/>
          <w:szCs w:val="20"/>
          <w:color w:val="auto"/>
        </w:rPr>
      </w:pPr>
    </w:p>
    <w:p>
      <w:pPr>
        <w:jc w:val="both"/>
        <w:ind w:firstLine="402"/>
        <w:spacing w:after="0" w:line="265" w:lineRule="auto"/>
        <w:rPr>
          <w:sz w:val="20"/>
          <w:szCs w:val="20"/>
          <w:color w:val="auto"/>
        </w:rPr>
      </w:pPr>
      <w:r>
        <w:rPr>
          <w:rFonts w:ascii="Arial" w:cs="Arial" w:eastAsia="Arial" w:hAnsi="Arial"/>
          <w:sz w:val="18"/>
          <w:szCs w:val="18"/>
          <w:color w:val="auto"/>
        </w:rPr>
        <w:t>In evaluating the potential for impairment of goodwill and other long-lived assets, we make assumptions and estimates regarding future operating performance, business trends, and market and economic performance, including future sales, operating margins, growth rates, and discount rates.</w:t>
      </w:r>
    </w:p>
    <w:p>
      <w:pPr>
        <w:spacing w:after="0" w:line="52"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We are continuing to monitor all factors impacting these reporting units. If actual results or the long-term outlook of any of our reporting units materially differ from the assumptions and estimates used in the goodwill and other long-lived assets valuation calculations, or there is a sustained decrease in our stock price, we could incur future non-cash impairment charges, which would have a material negative impact on our earnings.</w:t>
      </w:r>
    </w:p>
    <w:p>
      <w:pPr>
        <w:spacing w:after="0" w:line="45" w:lineRule="exact"/>
        <w:rPr>
          <w:sz w:val="20"/>
          <w:szCs w:val="20"/>
          <w:color w:val="auto"/>
        </w:rPr>
      </w:pPr>
    </w:p>
    <w:p>
      <w:pPr>
        <w:ind w:right="140" w:firstLine="402"/>
        <w:spacing w:after="0" w:line="257" w:lineRule="auto"/>
        <w:rPr>
          <w:sz w:val="20"/>
          <w:szCs w:val="20"/>
          <w:color w:val="auto"/>
        </w:rPr>
      </w:pPr>
      <w:r>
        <w:rPr>
          <w:rFonts w:ascii="Arial" w:cs="Arial" w:eastAsia="Arial" w:hAnsi="Arial"/>
          <w:sz w:val="18"/>
          <w:szCs w:val="18"/>
          <w:color w:val="auto"/>
        </w:rPr>
        <w:t>The annual goodwill impairment testing in the second quarter of 2024 indicated that fair value had fallen below carrying value for three reporting units. We had non-cash impairments in 2024 of $587 million, $44 million, and $44 million in our Bedding, Work Furniture, and Hydraulic Cylinders reporting units, respectively. After this impairment, the Hydraulic Cylinders reporting unit did not have any goodwill remaining. In addition, we had an impairment of $1 million related to a small U.S. machinery business within the Bedding Products segment that reached held-for-sale status in the fourth quarter of 2024 and was associated with the 2024 Plan.</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Long-lived Asset Impairment</w:t>
      </w:r>
    </w:p>
    <w:p>
      <w:pPr>
        <w:spacing w:after="0" w:line="101" w:lineRule="exact"/>
        <w:rPr>
          <w:sz w:val="20"/>
          <w:szCs w:val="20"/>
          <w:color w:val="auto"/>
        </w:rPr>
      </w:pPr>
    </w:p>
    <w:p>
      <w:pPr>
        <w:ind w:firstLine="402"/>
        <w:spacing w:after="0" w:line="254" w:lineRule="auto"/>
        <w:rPr>
          <w:sz w:val="20"/>
          <w:szCs w:val="20"/>
          <w:color w:val="auto"/>
        </w:rPr>
      </w:pPr>
      <w:r>
        <w:rPr>
          <w:rFonts w:ascii="Arial" w:cs="Arial" w:eastAsia="Arial" w:hAnsi="Arial"/>
          <w:sz w:val="18"/>
          <w:szCs w:val="18"/>
          <w:color w:val="auto"/>
        </w:rPr>
        <w:t>Late in the fourth quarter of 2023, we had a triggering event to review long-lived assets and test for impairment when certain of our Elite Comfort Solutions and Kayfoam customers notified us of efforts to improve their financial position by moving their business to or exploring alternative suppliers, which adversely impacted our future cash flow forecast. Although estimated undiscounted cash flows had previously exceeded carrying values, updated sales and earnings forecasts completed in early January 2024 indicated reduced expected cash flows. As a result, we performed recoverability and impairment testing, which led to a non-cash pretax charge of $444 million for long-lived asset impairments (primarily customer relationships, technology, and trademarks) in the Bedding Products segment for the fourth quarter of 2023. This impairment was unrelated to the 2024 Restructuring Plan discussed below.</w:t>
      </w:r>
    </w:p>
    <w:p>
      <w:pPr>
        <w:spacing w:after="0" w:line="48"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 xml:space="preserve">The activities resulting in the long-lived asset impairments discussed above were also considered a triggering event for goodwill impairment testing of the Bedding reporting unit, and no impairments were indicated (as discussed in </w:t>
      </w:r>
      <w:r>
        <w:rPr>
          <w:rFonts w:ascii="Arial" w:cs="Arial" w:eastAsia="Arial" w:hAnsi="Arial"/>
          <w:sz w:val="18"/>
          <w:szCs w:val="18"/>
          <w:u w:val="single" w:color="auto"/>
          <w:color w:val="0000FF"/>
        </w:rPr>
        <w:t>Goodwill Impairment Testing</w:t>
      </w:r>
      <w:r>
        <w:rPr>
          <w:rFonts w:ascii="Arial" w:cs="Arial" w:eastAsia="Arial" w:hAnsi="Arial"/>
          <w:sz w:val="18"/>
          <w:szCs w:val="18"/>
          <w:color w:val="auto"/>
        </w:rPr>
        <w:t xml:space="preserve"> starting on page 37).</w:t>
      </w:r>
    </w:p>
    <w:p>
      <w:pPr>
        <w:spacing w:after="0" w:line="52" w:lineRule="exact"/>
        <w:rPr>
          <w:sz w:val="20"/>
          <w:szCs w:val="20"/>
          <w:color w:val="auto"/>
        </w:rPr>
      </w:pPr>
    </w:p>
    <w:p>
      <w:pPr>
        <w:ind w:right="180" w:firstLine="402"/>
        <w:spacing w:after="0" w:line="265" w:lineRule="auto"/>
        <w:rPr>
          <w:sz w:val="20"/>
          <w:szCs w:val="20"/>
          <w:color w:val="auto"/>
        </w:rPr>
      </w:pPr>
      <w:r>
        <w:rPr>
          <w:rFonts w:ascii="Arial" w:cs="Arial" w:eastAsia="Arial" w:hAnsi="Arial"/>
          <w:sz w:val="18"/>
          <w:szCs w:val="18"/>
          <w:color w:val="auto"/>
        </w:rPr>
        <w:t>We regularly evaluate long-lived assets for indicators of impairment, such as market conditions, operating performance, strategic decisions, or technical obsolescence. While we believe our current asset valuations are appropriate, future assessments may result in non-cash charges, which would have a material negative impact to our earnings.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2024 Restructuring Plan Substantially Complete</w:t>
      </w:r>
    </w:p>
    <w:p>
      <w:pPr>
        <w:spacing w:after="0" w:line="103"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In 2024, we committed to a restructuring plan. The 2024 Plan was primarily associated with our Bedding Products segment and included, to a lesser extent, our Furniture, Flooring &amp; Textile Products segment, our Specialized Products segment, and general and administrative cost structure initiatives. Over the course of the restructuring timeline, we consolidated 17 production and distribution facilities in the Bedding Products segment and four production facilities in the Furniture, Flooring &amp; Textile Products segment. The 2024 Plan was substantially complete at the end of 2025. The following summarizes the 2024 Plan activity:</w:t>
      </w:r>
    </w:p>
    <w:p>
      <w:pPr>
        <w:spacing w:after="0" w:line="1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2024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33655</wp:posOffset>
            </wp:positionV>
            <wp:extent cx="6520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520180" cy="8255"/>
                    </a:xfrm>
                    <a:prstGeom prst="rect">
                      <a:avLst/>
                    </a:prstGeom>
                    <a:noFill/>
                  </pic:spPr>
                </pic:pic>
              </a:graphicData>
            </a:graphic>
          </wp:anchor>
        </w:drawing>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Bedding Products segment</w:t>
      </w:r>
    </w:p>
    <w:p>
      <w:pPr>
        <w:spacing w:after="0" w:line="34" w:lineRule="exact"/>
        <w:rPr>
          <w:sz w:val="20"/>
          <w:szCs w:val="20"/>
          <w:color w:val="auto"/>
        </w:rPr>
      </w:pPr>
    </w:p>
    <w:p>
      <w:pPr>
        <w:ind w:left="980" w:hanging="31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14 production and distribution facilities (ten in U.S. Spring, three in Specialty Foam, one in Adjustable Bed)</w:t>
      </w:r>
    </w:p>
    <w:p>
      <w:pPr>
        <w:spacing w:after="0" w:line="61" w:lineRule="exact"/>
        <w:rPr>
          <w:rFonts w:ascii="Arial" w:cs="Arial" w:eastAsia="Arial" w:hAnsi="Arial"/>
          <w:sz w:val="18"/>
          <w:szCs w:val="18"/>
          <w:color w:val="auto"/>
        </w:rPr>
      </w:pPr>
    </w:p>
    <w:p>
      <w:pPr>
        <w:ind w:left="1300" w:hanging="31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Consolidated all domestic innerspring production into our four remaining locations</w:t>
      </w:r>
    </w:p>
    <w:p>
      <w:pPr>
        <w:spacing w:after="0" w:line="61" w:lineRule="exact"/>
        <w:rPr>
          <w:rFonts w:ascii="Arial" w:cs="Arial" w:eastAsia="Arial" w:hAnsi="Arial"/>
          <w:sz w:val="18"/>
          <w:szCs w:val="18"/>
          <w:color w:val="auto"/>
        </w:rPr>
      </w:pPr>
    </w:p>
    <w:p>
      <w:pPr>
        <w:ind w:left="1300" w:hanging="31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Exited our Mexican innerspring operation</w:t>
      </w:r>
    </w:p>
    <w:p>
      <w:pPr>
        <w:spacing w:after="0" w:line="61" w:lineRule="exact"/>
        <w:rPr>
          <w:rFonts w:ascii="Arial" w:cs="Arial" w:eastAsia="Arial" w:hAnsi="Arial"/>
          <w:sz w:val="18"/>
          <w:szCs w:val="18"/>
          <w:color w:val="auto"/>
        </w:rPr>
      </w:pPr>
    </w:p>
    <w:p>
      <w:pPr>
        <w:ind w:left="980" w:hanging="31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Downsized our Chinese innerspring operation</w:t>
      </w:r>
    </w:p>
    <w:p>
      <w:pPr>
        <w:spacing w:after="0" w:line="61" w:lineRule="exact"/>
        <w:rPr>
          <w:rFonts w:ascii="Arial" w:cs="Arial" w:eastAsia="Arial" w:hAnsi="Arial"/>
          <w:sz w:val="18"/>
          <w:szCs w:val="18"/>
          <w:color w:val="auto"/>
        </w:rPr>
      </w:pPr>
    </w:p>
    <w:p>
      <w:pPr>
        <w:ind w:left="980" w:hanging="31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Sold two properties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Specialized Products segment</w:t>
      </w:r>
    </w:p>
    <w:p>
      <w:pPr>
        <w:spacing w:after="0" w:line="61" w:lineRule="exact"/>
        <w:rPr>
          <w:sz w:val="20"/>
          <w:szCs w:val="20"/>
          <w:color w:val="auto"/>
        </w:rPr>
      </w:pPr>
    </w:p>
    <w:p>
      <w:pPr>
        <w:ind w:left="1000" w:right="920" w:hanging="332"/>
        <w:spacing w:after="0" w:line="279" w:lineRule="auto"/>
        <w:tabs>
          <w:tab w:leader="none" w:pos="9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Launched restructuring activities in our Hydraulic Cylinders business to optimize manufacturing and improve operating efficiencies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Furniture, Flooring &amp; Textile Products segment</w:t>
      </w:r>
    </w:p>
    <w:p>
      <w:pPr>
        <w:spacing w:after="0" w:line="61" w:lineRule="exact"/>
        <w:rPr>
          <w:sz w:val="20"/>
          <w:szCs w:val="20"/>
          <w:color w:val="auto"/>
        </w:rPr>
      </w:pPr>
    </w:p>
    <w:p>
      <w:pPr>
        <w:ind w:left="980" w:hanging="31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Closed one facility in Home Furniture</w:t>
      </w:r>
    </w:p>
    <w:p>
      <w:pPr>
        <w:spacing w:after="0" w:line="61" w:lineRule="exact"/>
        <w:rPr>
          <w:rFonts w:ascii="Arial" w:cs="Arial" w:eastAsia="Arial" w:hAnsi="Arial"/>
          <w:sz w:val="18"/>
          <w:szCs w:val="18"/>
          <w:color w:val="auto"/>
        </w:rPr>
      </w:pPr>
    </w:p>
    <w:p>
      <w:pPr>
        <w:ind w:left="340" w:right="1520" w:firstLine="328"/>
        <w:spacing w:after="0" w:line="310" w:lineRule="auto"/>
        <w:tabs>
          <w:tab w:leader="none" w:pos="9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Closed one facility in Flooring Products and substantially completed Phase 1 of Flooring Products restructuring Corporate</w:t>
      </w:r>
    </w:p>
    <w:p>
      <w:pPr>
        <w:spacing w:after="0" w:line="1" w:lineRule="exact"/>
        <w:rPr>
          <w:rFonts w:ascii="Arial" w:cs="Arial" w:eastAsia="Arial" w:hAnsi="Arial"/>
          <w:sz w:val="18"/>
          <w:szCs w:val="18"/>
          <w:color w:val="auto"/>
        </w:rPr>
      </w:pPr>
    </w:p>
    <w:p>
      <w:pPr>
        <w:ind w:left="980" w:hanging="31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corporate general and administrative expenses, fully realized in 2025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Bedding Products segment</w:t>
      </w:r>
    </w:p>
    <w:p>
      <w:pPr>
        <w:spacing w:after="0" w:line="34" w:lineRule="exact"/>
        <w:rPr>
          <w:sz w:val="20"/>
          <w:szCs w:val="20"/>
          <w:color w:val="auto"/>
        </w:rPr>
      </w:pPr>
    </w:p>
    <w:p>
      <w:pPr>
        <w:ind w:left="660" w:hanging="31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Divested a small U.S. machinery business (two facilities)</w:t>
      </w:r>
    </w:p>
    <w:p>
      <w:pPr>
        <w:spacing w:after="0" w:line="61" w:lineRule="exact"/>
        <w:rPr>
          <w:rFonts w:ascii="Arial" w:cs="Arial" w:eastAsia="Arial" w:hAnsi="Arial"/>
          <w:sz w:val="18"/>
          <w:szCs w:val="18"/>
          <w:color w:val="auto"/>
        </w:rPr>
      </w:pPr>
    </w:p>
    <w:p>
      <w:pPr>
        <w:jc w:val="both"/>
        <w:ind w:left="660" w:right="6160" w:hanging="313"/>
        <w:spacing w:after="0" w:line="31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Largely completed Specialty Foam restructuring activity ◦ Consolidated one Specialty Foam production facility</w:t>
      </w:r>
    </w:p>
    <w:p>
      <w:pPr>
        <w:spacing w:after="0" w:line="1" w:lineRule="exact"/>
        <w:rPr>
          <w:rFonts w:ascii="Arial" w:cs="Arial" w:eastAsia="Arial" w:hAnsi="Arial"/>
          <w:sz w:val="18"/>
          <w:szCs w:val="18"/>
          <w:color w:val="auto"/>
        </w:rPr>
      </w:pPr>
    </w:p>
    <w:p>
      <w:pPr>
        <w:ind w:left="660" w:hanging="31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Sold four properties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Specialized Products segment</w:t>
      </w:r>
    </w:p>
    <w:p>
      <w:pPr>
        <w:spacing w:after="0" w:line="61" w:lineRule="exact"/>
        <w:rPr>
          <w:sz w:val="20"/>
          <w:szCs w:val="20"/>
          <w:color w:val="auto"/>
        </w:rPr>
      </w:pPr>
    </w:p>
    <w:p>
      <w:pPr>
        <w:ind w:left="660" w:right="4140" w:hanging="313"/>
        <w:spacing w:after="0" w:line="31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Completed manufacturing efficiency improvement activities in Hydraulic Cylinders ◦ Right-sized our Hydraulic Cylinders facility in the UK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Flooring &amp; Textile Products segment</w:t>
      </w:r>
    </w:p>
    <w:p>
      <w:pPr>
        <w:spacing w:after="0" w:line="61" w:lineRule="exact"/>
        <w:rPr>
          <w:sz w:val="20"/>
          <w:szCs w:val="20"/>
          <w:color w:val="auto"/>
        </w:rPr>
      </w:pPr>
    </w:p>
    <w:p>
      <w:pPr>
        <w:ind w:left="660" w:right="3360" w:hanging="313"/>
        <w:spacing w:after="0" w:line="31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Completed Phase 1 and substantially completed Phase 2 of Flooring Products restructuring ◦ Consolidated two Flooring Products production facilities</w:t>
      </w:r>
    </w:p>
    <w:p>
      <w:pPr>
        <w:spacing w:after="0" w:line="1" w:lineRule="exact"/>
        <w:rPr>
          <w:rFonts w:ascii="Arial" w:cs="Arial" w:eastAsia="Arial" w:hAnsi="Arial"/>
          <w:sz w:val="18"/>
          <w:szCs w:val="18"/>
          <w:color w:val="auto"/>
        </w:rPr>
      </w:pPr>
    </w:p>
    <w:p>
      <w:pPr>
        <w:ind w:left="660" w:hanging="31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Sold one property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Since Inception</w:t>
            </w:r>
          </w:p>
        </w:tc>
        <w:tc>
          <w:tcPr>
            <w:tcW w:w="1480" w:type="dxa"/>
            <w:vAlign w:val="bottom"/>
          </w:tcPr>
          <w:p>
            <w:pPr>
              <w:jc w:val="right"/>
              <w:ind w:right="231"/>
              <w:spacing w:after="0"/>
              <w:rPr>
                <w:sz w:val="20"/>
                <w:szCs w:val="20"/>
                <w:color w:val="auto"/>
              </w:rPr>
            </w:pPr>
            <w:r>
              <w:rPr>
                <w:rFonts w:ascii="Arial" w:cs="Arial" w:eastAsia="Arial" w:hAnsi="Arial"/>
                <w:sz w:val="18"/>
                <w:szCs w:val="18"/>
                <w:b w:val="1"/>
                <w:bCs w:val="1"/>
                <w:color w:val="auto"/>
              </w:rPr>
              <w:t>Total Plan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millions-all pretax)</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b w:val="1"/>
                <w:bCs w:val="1"/>
                <w:color w:val="auto"/>
              </w:rPr>
              <w:t>Estimate</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auto"/>
            </w:tcBorders>
            <w:shd w:val="clear" w:color="auto" w:fill="CCEEFF"/>
          </w:tcPr>
          <w:p>
            <w:pPr>
              <w:spacing w:after="0" w:line="168" w:lineRule="exact"/>
              <w:rPr>
                <w:sz w:val="20"/>
                <w:szCs w:val="20"/>
                <w:color w:val="auto"/>
              </w:rPr>
            </w:pPr>
            <w:r>
              <w:rPr>
                <w:rFonts w:ascii="Arial" w:cs="Arial" w:eastAsia="Arial" w:hAnsi="Arial"/>
                <w:sz w:val="18"/>
                <w:szCs w:val="18"/>
                <w:b w:val="1"/>
                <w:bCs w:val="1"/>
                <w:color w:val="auto"/>
                <w:w w:val="97"/>
              </w:rPr>
              <w:t>Plan activity:</w:t>
            </w:r>
          </w:p>
        </w:tc>
        <w:tc>
          <w:tcPr>
            <w:tcW w:w="28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gridSpan w:val="2"/>
          </w:tcPr>
          <w:p>
            <w:pPr>
              <w:ind w:left="220"/>
              <w:spacing w:after="0" w:line="175" w:lineRule="exact"/>
              <w:rPr>
                <w:sz w:val="20"/>
                <w:szCs w:val="20"/>
                <w:color w:val="auto"/>
              </w:rPr>
            </w:pPr>
            <w:r>
              <w:rPr>
                <w:rFonts w:ascii="Arial" w:cs="Arial" w:eastAsia="Arial" w:hAnsi="Arial"/>
                <w:sz w:val="18"/>
                <w:szCs w:val="18"/>
                <w:color w:val="auto"/>
              </w:rPr>
              <w:t>Restructuring and restructuring-related</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Non-cash</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costs</w:t>
            </w: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ind w:left="220"/>
              <w:spacing w:after="0" w:line="227" w:lineRule="exact"/>
              <w:rPr>
                <w:sz w:val="20"/>
                <w:szCs w:val="20"/>
                <w:color w:val="auto"/>
              </w:rPr>
            </w:pPr>
            <w:r>
              <w:rPr>
                <w:rFonts w:ascii="Arial" w:cs="Arial" w:eastAsia="Arial" w:hAnsi="Arial"/>
                <w:sz w:val="17"/>
                <w:szCs w:val="17"/>
                <w:color w:val="auto"/>
              </w:rPr>
              <w:t xml:space="preserve">Pretax net cash from real estate </w:t>
            </w:r>
            <w:r>
              <w:rPr>
                <w:rFonts w:ascii="Arial" w:cs="Arial" w:eastAsia="Arial" w:hAnsi="Arial"/>
                <w:sz w:val="26"/>
                <w:szCs w:val="26"/>
                <w:b w:val="1"/>
                <w:bCs w:val="1"/>
                <w:color w:val="auto"/>
                <w:vertAlign w:val="superscript"/>
              </w:rPr>
              <w:t>1</w:t>
            </w: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to $80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980" w:hanging="168"/>
        <w:spacing w:after="0" w:line="216" w:lineRule="auto"/>
        <w:tabs>
          <w:tab w:leader="none" w:pos="935" w:val="left"/>
        </w:tabs>
        <w:numPr>
          <w:ilvl w:val="0"/>
          <w:numId w:val="28"/>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is only related to the 2024 Plan and does not include the sale of idle real estate. The proceeds from the 2024 sale of real estate resulted in a pretax gain of $17 million. Real estate sold in 2025 resulted in a pretax gain of $24 million. The remaining real estate sales proceeds are expected to be received during 2026 due to timing of listing properties.</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EBIT Benefit: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realized annualized EBIT benefit of $63 million in 2025 and expect approximately $5 million of incremental EBIT benefit in 2026.</w:t>
      </w:r>
    </w:p>
    <w:p>
      <w:pPr>
        <w:spacing w:after="0" w:line="25" w:lineRule="exact"/>
        <w:rPr>
          <w:sz w:val="20"/>
          <w:szCs w:val="20"/>
          <w:color w:val="auto"/>
        </w:rPr>
      </w:pPr>
    </w:p>
    <w:p>
      <w:pPr>
        <w:ind w:left="960" w:hanging="30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realized $22 million in 2024.</w:t>
      </w:r>
    </w:p>
    <w:p>
      <w:pPr>
        <w:spacing w:after="0" w:line="7" w:lineRule="exact"/>
        <w:rPr>
          <w:rFonts w:ascii="Arial" w:cs="Arial" w:eastAsia="Arial" w:hAnsi="Arial"/>
          <w:sz w:val="18"/>
          <w:szCs w:val="18"/>
          <w:color w:val="auto"/>
        </w:rPr>
      </w:pPr>
    </w:p>
    <w:p>
      <w:pPr>
        <w:ind w:left="960" w:hanging="309"/>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realized $41 million of incremental EBIT benefit in 2025.</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Sales Attrition:</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realized $53 million of annualized sales attrition in 2025 and expect approximately $5 million of incremental sales attrition in 2026.</w:t>
      </w:r>
    </w:p>
    <w:p>
      <w:pPr>
        <w:spacing w:after="0" w:line="25" w:lineRule="exact"/>
        <w:rPr>
          <w:sz w:val="20"/>
          <w:szCs w:val="20"/>
          <w:color w:val="auto"/>
        </w:rPr>
      </w:pPr>
    </w:p>
    <w:p>
      <w:pPr>
        <w:ind w:left="960" w:hanging="309"/>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realized $15 million in 2024.</w:t>
      </w:r>
    </w:p>
    <w:p>
      <w:pPr>
        <w:spacing w:after="0" w:line="7" w:lineRule="exact"/>
        <w:rPr>
          <w:rFonts w:ascii="Arial" w:cs="Arial" w:eastAsia="Arial" w:hAnsi="Arial"/>
          <w:sz w:val="18"/>
          <w:szCs w:val="18"/>
          <w:color w:val="auto"/>
        </w:rPr>
      </w:pPr>
    </w:p>
    <w:p>
      <w:pPr>
        <w:ind w:left="980" w:right="80" w:hanging="329"/>
        <w:spacing w:after="0" w:line="261"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realized $38 million of incremental sales attrition in 2025 (including $12 million from the divestiture of a small U.S. machinery business in our Bedding Products segment).</w:t>
      </w:r>
    </w:p>
    <w:p>
      <w:pPr>
        <w:spacing w:after="0" w:line="55"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Because of certain risks and uncertainties, EBIT benefit, sales attrition, and the proceeds from the sale of real estate associated with the 2024 Plan may change. We may not be able to dispose of the remaining real estate pursuant to the 2024 Plan or obtain the expected proceeds in a timely manner. Any failure to achieve the intended outcomes could materially adversely affect our business, financial condition, results of operations, cash flows, and liquidity.</w:t>
      </w:r>
    </w:p>
    <w:p>
      <w:pPr>
        <w:spacing w:after="0" w:line="58" w:lineRule="exact"/>
        <w:rPr>
          <w:sz w:val="20"/>
          <w:szCs w:val="20"/>
          <w:color w:val="auto"/>
        </w:rPr>
      </w:pPr>
    </w:p>
    <w:p>
      <w:pPr>
        <w:ind w:right="60" w:firstLine="402"/>
        <w:spacing w:after="0" w:line="253" w:lineRule="auto"/>
        <w:rPr>
          <w:sz w:val="20"/>
          <w:szCs w:val="20"/>
          <w:color w:val="auto"/>
        </w:rPr>
      </w:pPr>
      <w:r>
        <w:rPr>
          <w:rFonts w:ascii="Arial" w:cs="Arial" w:eastAsia="Arial" w:hAnsi="Arial"/>
          <w:sz w:val="18"/>
          <w:szCs w:val="18"/>
          <w:color w:val="auto"/>
        </w:rPr>
        <w:t>Although the 2024 Plan is substantially complete, we continue to identify opportunities to improve our cost structure and profitability across our businesses. On February 24, 2026, we committed to a smaller restructuring plan to consolidate two manufacturing facilities in our Specialty Foam business unit in our Bedding Products segment and one manufacturing facility within our Furniture, Flooring &amp; Textile Products segment into other existing facilities (2026 Restructuring Plan). These actions are expected to improve our manufacturing efficiency and enhance profitability and are anticipated to be substantially complete by the end of 2026. We expect to incur restructuring and restructuring-related pretax costs of approximately $15 million for the 2026 Restructuring Plan, including approximately $10 million of cash charges. If additional restructuring activities are identified and executed, we may incur additional material restructuring costs, restructuring-related costs, or impairments.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Market Demand</w:t>
      </w:r>
    </w:p>
    <w:p>
      <w:pPr>
        <w:spacing w:after="0" w:line="103" w:lineRule="exact"/>
        <w:rPr>
          <w:sz w:val="20"/>
          <w:szCs w:val="20"/>
          <w:color w:val="auto"/>
        </w:rPr>
      </w:pPr>
    </w:p>
    <w:p>
      <w:pPr>
        <w:ind w:right="40" w:firstLine="442"/>
        <w:spacing w:after="0" w:line="255" w:lineRule="auto"/>
        <w:rPr>
          <w:sz w:val="20"/>
          <w:szCs w:val="20"/>
          <w:color w:val="auto"/>
        </w:rPr>
      </w:pPr>
      <w:r>
        <w:rPr>
          <w:rFonts w:ascii="Arial" w:cs="Arial" w:eastAsia="Arial" w:hAnsi="Arial"/>
          <w:sz w:val="18"/>
          <w:szCs w:val="18"/>
          <w:color w:val="auto"/>
        </w:rPr>
        <w:t>Market demand (including product mix) is impacted by several economic factors, with housing turnover and consumer confidence being the most significant. Other important factors include disposable income levels, employment levels, and interest rates. All of these factors influence consumer spending on durable goods, and therefore affect demand for our products and components. Some of these factors also influence spending on infrastructure, facilities, and equipment, which has impacted approximately 30% of our sales. The dynamic macroeconomic environment has pressured most of our end markets and negatively affected the demand for our products. We are also concerned that wide-ranging tariffs will drive inflation, weaken consumer confidence, and pressure consumer demand.</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In recent years, the U.S. mattress market has become increasingly bifurcated. High volume imports have dominated online sales and pressured opening and mid-tier price points for traditional domestic OEMs. Additionally, some mattress manufacturers and retailers have faced financial stress as overall consumer demand for mattresses has declined. In the near-term, the domestic mattress industry is expected to continue to experience some level of volatility resulting from industry bankruptcies, consolidations, and import pressure.</w:t>
      </w:r>
    </w:p>
    <w:p>
      <w:pPr>
        <w:spacing w:after="0" w:line="45" w:lineRule="exact"/>
        <w:rPr>
          <w:sz w:val="20"/>
          <w:szCs w:val="20"/>
          <w:color w:val="auto"/>
        </w:rPr>
      </w:pPr>
    </w:p>
    <w:p>
      <w:pPr>
        <w:ind w:right="20" w:firstLine="442"/>
        <w:spacing w:after="0" w:line="265" w:lineRule="auto"/>
        <w:rPr>
          <w:sz w:val="20"/>
          <w:szCs w:val="20"/>
          <w:color w:val="auto"/>
        </w:rPr>
      </w:pPr>
      <w:r>
        <w:rPr>
          <w:rFonts w:ascii="Arial" w:cs="Arial" w:eastAsia="Arial" w:hAnsi="Arial"/>
          <w:sz w:val="18"/>
          <w:szCs w:val="18"/>
          <w:color w:val="auto"/>
        </w:rPr>
        <w:t>Volatility related to the growth of Chinese EV manufacturers and multinational OEM market share challenges are expected to continue to impact the automotive industry. Delays in EV programs in Europe and changing expectations for internal combustion engines to EV program transitions in North America, along with consumer affordability issues, also add uncertainty to OEM demand.</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a result of these uncertainties, we expect 2026 overall demand to be flat or modestly lower than 2025 levels.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Trends in Cost of Goods Sold</w:t>
      </w:r>
    </w:p>
    <w:p>
      <w:pPr>
        <w:spacing w:after="0" w:line="90"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Our costs can vary significantly as market prices for raw materials (many of which are commodities) fluctuate. We typically have short-term commitments from our suppliers; accordingly, our raw material costs generally move with the market. We have also been impacted by fluctuations in transportation, energy, and labor costs. Our ability to recover higher costs (through selling price increases) is crucial. When we experience significant increases in costs, we typically implement price increases to recover the higher costs. Conversely, when costs decrease significantly, we generally pass those lower costs through to our customers. The timing of our price increases or decreases is important; we typically experience a lag in recovering higher costs, and we also realize a lag as costs decline.</w:t>
      </w:r>
    </w:p>
    <w:p>
      <w:pPr>
        <w:spacing w:after="0" w:line="61" w:lineRule="exact"/>
        <w:rPr>
          <w:sz w:val="20"/>
          <w:szCs w:val="20"/>
          <w:color w:val="auto"/>
        </w:rPr>
      </w:pPr>
    </w:p>
    <w:p>
      <w:pPr>
        <w:ind w:right="80" w:firstLine="402"/>
        <w:spacing w:after="0" w:line="255" w:lineRule="auto"/>
        <w:rPr>
          <w:sz w:val="20"/>
          <w:szCs w:val="20"/>
          <w:color w:val="auto"/>
        </w:rPr>
      </w:pPr>
      <w:r>
        <w:rPr>
          <w:rFonts w:ascii="Arial" w:cs="Arial" w:eastAsia="Arial" w:hAnsi="Arial"/>
          <w:sz w:val="18"/>
          <w:szCs w:val="18"/>
          <w:color w:val="auto"/>
        </w:rPr>
        <w:t>Steel is our principal raw material. At various times in past years, we have experienced significant cost fluctuations in this commodity. In most cases, the major changes (both increases and decreases) were passed through to customers with selling price adjustments. Steel costs modestly declined throughout 2024 as U.S. steel markets continued to face soft demand and increased foreign competition. In early 2025, steel costs increased versus the end of 2024 largely due to higher demand and, in early April 2025, costs continued to increase due to recently implemented tariffs reducing foreign competition. Steel costs remained relatively steady for the remainder of the year, resulting in costs that were significantly higher year over year.</w:t>
      </w:r>
    </w:p>
    <w:p>
      <w:pPr>
        <w:spacing w:after="0" w:line="61" w:lineRule="exact"/>
        <w:rPr>
          <w:sz w:val="20"/>
          <w:szCs w:val="20"/>
          <w:color w:val="auto"/>
        </w:rPr>
      </w:pPr>
    </w:p>
    <w:p>
      <w:pPr>
        <w:ind w:right="20" w:firstLine="402"/>
        <w:spacing w:after="0" w:line="254" w:lineRule="auto"/>
        <w:rPr>
          <w:sz w:val="20"/>
          <w:szCs w:val="20"/>
          <w:color w:val="auto"/>
        </w:rPr>
      </w:pPr>
      <w:r>
        <w:rPr>
          <w:rFonts w:ascii="Arial" w:cs="Arial" w:eastAsia="Arial" w:hAnsi="Arial"/>
          <w:sz w:val="18"/>
          <w:szCs w:val="18"/>
          <w:color w:val="auto"/>
        </w:rPr>
        <w:t>As a producer of steel rod, we are also impacted by changes in metal margins (the difference in the cost of steel scrap and the market price for steel rod). Steel rod and steel scrap costs both declined modestly during 2024, leading to metal margin compression. In 2025, steel rod costs increased while average steel scrap costs remained relatively flat, resulting in metal margin expansion year over year. In addition, producing steel rod is energy intensive and depends on electricity and other utilities at commercially reasonable rates. Periods of extreme weather, including prolonged hot or cold weather events, have increased and may continue to increase overall electricity and natural gas demand, place stress on regional power grids, and contribute to higher or more volatile utility rates, impacting our utility costs. Such conditions may also increase the risk of service interruptions.</w:t>
      </w:r>
    </w:p>
    <w:p>
      <w:pPr>
        <w:spacing w:after="0" w:line="48" w:lineRule="exact"/>
        <w:rPr>
          <w:sz w:val="20"/>
          <w:szCs w:val="20"/>
          <w:color w:val="auto"/>
        </w:rPr>
      </w:pPr>
    </w:p>
    <w:p>
      <w:pPr>
        <w:ind w:right="160" w:firstLine="402"/>
        <w:spacing w:after="0" w:line="297" w:lineRule="auto"/>
        <w:rPr>
          <w:sz w:val="20"/>
          <w:szCs w:val="20"/>
          <w:color w:val="auto"/>
        </w:rPr>
      </w:pPr>
      <w:r>
        <w:rPr>
          <w:rFonts w:ascii="Arial" w:cs="Arial" w:eastAsia="Arial" w:hAnsi="Arial"/>
          <w:sz w:val="18"/>
          <w:szCs w:val="18"/>
          <w:color w:val="auto"/>
        </w:rPr>
        <w:t>We have exposure to the cost of chemicals, including TDI, MDI, and polyol. The cost of these chemicals has fluctuated at times, but we have generally passed the changes through to our customers. Average costs in 2025 were in line with 2024 average costs.</w:t>
      </w:r>
    </w:p>
    <w:p>
      <w:pPr>
        <w:spacing w:after="0" w:line="24"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Our other raw materials include woven and nonwoven fabrics. When we have experienced changes in the costs of these materials, we generally have been able to pass them through to our customers. In 2025, aggressive competitive discounting, particularly in Flooring and Textiles, has also led to pricing adjustments that have impacted our profitability. In order to mitigate exposure under recently announced tariffs, our Textile business has proactively been sourcing the majority of these materials from outside of China. We are well positioned to serve customers that may face supply disruption from their existing vendors.</w:t>
      </w:r>
    </w:p>
    <w:p>
      <w:pPr>
        <w:spacing w:after="0" w:line="58"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When we raise our prices to recover higher raw material costs, this sometimes causes customers to modify their product designs and replace higher cost components with lower cost components. We must continue providing product options to our customers that enable them to improve the functionality of their products and manage their costs, while providing higher profits for our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Competition</w:t>
      </w:r>
    </w:p>
    <w:p>
      <w:pPr>
        <w:spacing w:after="0" w:line="103"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Many of our markets are highly competitive, with the number of competitors varying by product line. In general, our competitors tend to be smaller, private companies. Many of our competitors, both domestic and foreign, compete primarily on the basis of price. Our success has stemmed from the ability to remain price competitive while delivering innovation, product quality, and customer service.</w:t>
      </w:r>
    </w:p>
    <w:p>
      <w:pPr>
        <w:spacing w:after="0" w:line="52" w:lineRule="exact"/>
        <w:rPr>
          <w:sz w:val="20"/>
          <w:szCs w:val="20"/>
          <w:color w:val="auto"/>
        </w:rPr>
      </w:pPr>
    </w:p>
    <w:p>
      <w:pPr>
        <w:ind w:right="80" w:firstLine="402"/>
        <w:spacing w:after="0" w:line="271" w:lineRule="auto"/>
        <w:rPr>
          <w:sz w:val="20"/>
          <w:szCs w:val="20"/>
          <w:color w:val="auto"/>
        </w:rPr>
      </w:pPr>
      <w:r>
        <w:rPr>
          <w:rFonts w:ascii="Arial" w:cs="Arial" w:eastAsia="Arial" w:hAnsi="Arial"/>
          <w:sz w:val="17"/>
          <w:szCs w:val="17"/>
          <w:color w:val="auto"/>
        </w:rPr>
        <w:t>We continue to face pressure from foreign competitors, as some of our customers source a portion of their components and finished products offshore. In addition to lower labor rates, foreign competitors benefit (at times) from lower raw material costs. They may also benefit from currency factors and more lenient regulatory climates. We typically compete in market segments that value product differentiation. When we do compete on cost, we typically remain price competitive in most of our business units, even versus many foreign manufacturers, as a result of our efficient operations, automation, vertical integration in steel rod and wire, logistics and distribution efficiencies, and large-scale purchasing of raw materials and commodities. We have also reacted to foreign competition in certain cases by developing new proprietary products that help our customers reduce total costs and by shifting production offshore to take advantage of lower input costs.</w:t>
      </w:r>
    </w:p>
    <w:p>
      <w:pPr>
        <w:spacing w:after="0" w:line="37" w:lineRule="exact"/>
        <w:rPr>
          <w:sz w:val="20"/>
          <w:szCs w:val="20"/>
          <w:color w:val="auto"/>
        </w:rPr>
      </w:pPr>
    </w:p>
    <w:p>
      <w:pPr>
        <w:ind w:right="540" w:firstLine="402"/>
        <w:spacing w:after="0" w:line="282" w:lineRule="auto"/>
        <w:rPr>
          <w:sz w:val="20"/>
          <w:szCs w:val="20"/>
          <w:color w:val="auto"/>
        </w:rPr>
      </w:pPr>
      <w:r>
        <w:rPr>
          <w:rFonts w:ascii="Arial" w:cs="Arial" w:eastAsia="Arial" w:hAnsi="Arial"/>
          <w:sz w:val="18"/>
          <w:szCs w:val="18"/>
          <w:color w:val="auto"/>
        </w:rPr>
        <w:t>We manufacture innersprings for mattresses, finished mattresses, and steel rod wire (used internally and sold to third parties). Our operations have been impacted by several trade proceedings involving unfair pricing and foreign subsidies.</w:t>
      </w:r>
    </w:p>
    <w:p>
      <w:pPr>
        <w:spacing w:after="0" w:line="36"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b w:val="1"/>
          <w:bCs w:val="1"/>
          <w:i w:val="1"/>
          <w:iCs w:val="1"/>
          <w:color w:val="auto"/>
        </w:rPr>
        <w:t xml:space="preserve">Anti-Dumping and Countervailing Orders on Innerspring Imports. </w:t>
      </w:r>
      <w:r>
        <w:rPr>
          <w:rFonts w:ascii="Arial" w:cs="Arial" w:eastAsia="Arial" w:hAnsi="Arial"/>
          <w:sz w:val="18"/>
          <w:szCs w:val="18"/>
          <w:color w:val="auto"/>
        </w:rPr>
        <w:t>In 2025, the U.S. Department of Commerce (DOC) and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Trade Commission (ITC) determined that the revocation of certain mattress innerspring orders would likely lead to the continuation or reoccurrence of material injury and dumping of uncovered innersprings from China, Vietnam, and South Africa. Consequently, the antidumping duty orders on innerspring imports from these countries, with duties ranging from 116% to 234%, were extended for an additional five years through April 2030.</w:t>
      </w:r>
    </w:p>
    <w:p>
      <w:pPr>
        <w:spacing w:after="0" w:line="45"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b w:val="1"/>
          <w:bCs w:val="1"/>
          <w:i w:val="1"/>
          <w:iCs w:val="1"/>
          <w:color w:val="auto"/>
        </w:rPr>
        <w:t xml:space="preserve">Anti-Dumping and Countervailing Orders on Mattress Imports. </w:t>
      </w:r>
      <w:r>
        <w:rPr>
          <w:rFonts w:ascii="Arial" w:cs="Arial" w:eastAsia="Arial" w:hAnsi="Arial"/>
          <w:sz w:val="18"/>
          <w:szCs w:val="18"/>
          <w:color w:val="auto"/>
        </w:rPr>
        <w:t>In 2025, the DOC and the ITC completed sunset reviews of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antidumping duty orders on finished mattresses from China. The DOC and ITC determined that revocation of the 2019 antidumping duty order on mattresses from China would likely lead to continued or recurring material injury and dumping. As a result, the DOC extended the order, and duties of up to 1,732% on mattresses from China will remain in effect through May 2030.</w:t>
      </w:r>
    </w:p>
    <w:p>
      <w:pPr>
        <w:spacing w:after="0" w:line="58" w:lineRule="exact"/>
        <w:rPr>
          <w:sz w:val="20"/>
          <w:szCs w:val="20"/>
          <w:color w:val="auto"/>
        </w:rPr>
      </w:pPr>
    </w:p>
    <w:p>
      <w:pPr>
        <w:ind w:firstLine="402"/>
        <w:spacing w:after="0" w:line="253" w:lineRule="auto"/>
        <w:rPr>
          <w:sz w:val="20"/>
          <w:szCs w:val="20"/>
          <w:color w:val="auto"/>
        </w:rPr>
      </w:pPr>
      <w:r>
        <w:rPr>
          <w:rFonts w:ascii="Arial" w:cs="Arial" w:eastAsia="Arial" w:hAnsi="Arial"/>
          <w:sz w:val="18"/>
          <w:szCs w:val="18"/>
          <w:color w:val="auto"/>
        </w:rPr>
        <w:t>In March 2020, the Company, along with other companies, filed petitions with the DOC and ITC alleging that manufacturers of mattresses in seven countries (Cambodia, Indonesia, Malaysia, Serbia, Thailand, Turkey, and Vietnam) were selling mattresses in the United States at less than fair value, and that manufacturers in China were receiving unfair subsidies. These petitions resulted in the imposition of antidumping and countervailing duty orders, which are scheduled to remain in effect through May 2026. A sunset review will be conducted at that time to determine whether to extend the orders for an additional five years. Following appeals filed with the U.S. Court of International Trade (CIT), the CIT upheld the ITC’s unanimous injury determination. However, the DOC revoked the antidumping duty order on mattresses from Indonesia. In response, the Company filed an appeal with the U.S. Court of Appeals for the Federal Circuit in April 2025, challenging that decision.</w:t>
      </w:r>
    </w:p>
    <w:p>
      <w:pPr>
        <w:spacing w:after="0" w:line="64" w:lineRule="exact"/>
        <w:rPr>
          <w:sz w:val="20"/>
          <w:szCs w:val="20"/>
          <w:color w:val="auto"/>
        </w:rPr>
      </w:pPr>
    </w:p>
    <w:p>
      <w:pPr>
        <w:ind w:right="60" w:firstLine="402"/>
        <w:spacing w:after="0" w:line="253" w:lineRule="auto"/>
        <w:rPr>
          <w:sz w:val="20"/>
          <w:szCs w:val="20"/>
          <w:color w:val="auto"/>
        </w:rPr>
      </w:pPr>
      <w:r>
        <w:rPr>
          <w:rFonts w:ascii="Arial" w:cs="Arial" w:eastAsia="Arial" w:hAnsi="Arial"/>
          <w:sz w:val="18"/>
          <w:szCs w:val="18"/>
          <w:color w:val="auto"/>
        </w:rPr>
        <w:t>In July 2023, the Company, along with other companies, filed petitions with the DOC and ITC alleging that manufacturers of mattresses in twelve additional countries (Bosnia and Herzegovina, Bulgaria, Burma, India, Italy, Kosovo, Mexico, the Philippines, Poland, Slovenia, Spain, and Taiwan) were selling their mattresses in the United States at less than fair value, and that manufacturers in Indonesia were receiving unfair subsidies. Final dumping determinations for eight countries were issued in May 2024, followed by the ITC’s final injury determination in June 2024. These orders are scheduled for sunset review in June 2029. For the remaining countries, the DOC issued final determinations in July 2024, and the ITC issued its final injury determination in September 2024. Although the case is resolved with respect to duties and injury findings, an importer has filed an appeal challenging the ITC’s critical circumstances determination, which imposed retroactive duties. That appeal remains pending. A sunset review of these orders is scheduled for September 2029.</w:t>
      </w:r>
    </w:p>
    <w:p>
      <w:pPr>
        <w:spacing w:after="0" w:line="51" w:lineRule="exact"/>
        <w:rPr>
          <w:sz w:val="20"/>
          <w:szCs w:val="20"/>
          <w:color w:val="auto"/>
        </w:rPr>
      </w:pPr>
    </w:p>
    <w:p>
      <w:pPr>
        <w:jc w:val="both"/>
        <w:ind w:right="40" w:firstLine="402"/>
        <w:spacing w:after="0" w:line="259" w:lineRule="auto"/>
        <w:rPr>
          <w:sz w:val="20"/>
          <w:szCs w:val="20"/>
          <w:color w:val="auto"/>
        </w:rPr>
      </w:pPr>
      <w:r>
        <w:rPr>
          <w:rFonts w:ascii="Arial" w:cs="Arial" w:eastAsia="Arial" w:hAnsi="Arial"/>
          <w:sz w:val="18"/>
          <w:szCs w:val="18"/>
          <w:color w:val="auto"/>
        </w:rPr>
        <w:t>On November 18, 2025, the Company, along with other companies, filed with the DOC requests to initiate anti-circumvention inquiries on mattress component imports from Poland, Mexico, and Malaysia. The requests state that mattress components are being imported from these three countries and assembled into finished mattresses in the United States, which are then sold in the United States. The anti-circumvention requests allege that the assembly of these components is minor or insignificant under the law and as a result,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mattress component imports from Poland, Mexico, and Malaysia are allegedly circumventing anti-dumping orders.</w:t>
      </w:r>
    </w:p>
    <w:p>
      <w:pPr>
        <w:spacing w:after="0" w:line="88" w:lineRule="exact"/>
        <w:rPr>
          <w:sz w:val="20"/>
          <w:szCs w:val="20"/>
          <w:color w:val="auto"/>
        </w:rPr>
      </w:pPr>
    </w:p>
    <w:p>
      <w:pPr>
        <w:ind w:right="60" w:firstLine="402"/>
        <w:spacing w:after="0" w:line="255" w:lineRule="auto"/>
        <w:rPr>
          <w:sz w:val="20"/>
          <w:szCs w:val="20"/>
          <w:color w:val="auto"/>
        </w:rPr>
      </w:pPr>
      <w:r>
        <w:rPr>
          <w:rFonts w:ascii="Arial" w:cs="Arial" w:eastAsia="Arial" w:hAnsi="Arial"/>
          <w:sz w:val="18"/>
          <w:szCs w:val="18"/>
          <w:b w:val="1"/>
          <w:bCs w:val="1"/>
          <w:i w:val="1"/>
          <w:iCs w:val="1"/>
          <w:color w:val="auto"/>
        </w:rPr>
        <w:t xml:space="preserve">Anti-Dumping and Countervailing Orders on Steel Wire Rod Imports. </w:t>
      </w:r>
      <w:r>
        <w:rPr>
          <w:rFonts w:ascii="Arial" w:cs="Arial" w:eastAsia="Arial" w:hAnsi="Arial"/>
          <w:sz w:val="18"/>
          <w:szCs w:val="18"/>
          <w:color w:val="auto"/>
        </w:rPr>
        <w:t>Expedited sunset reviews by the ITC are currently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on imports of steel wire rod from Brazil, Indonesia, Mexico, Moldova and Trinidad &amp; Tobago. The current anti-dumping and countervailing duty orders range from 3% to 369%. If the ITC and DOC rule favorably, the duties will be extended another five years. Also, through August 2030, imports of steel wire rod from China are covered by antidumping and countervailing duties ranging from 106% to 193%. Additionally, through August 2028, antidumping and countervailing duty orders are in place on steel wire rod from Belarus, Italy, Korea, Russia, South Africa, Spain, Turkey, Ukraine, United Arab Emirates, and the United Kingdom ranging from less than 1% to 757%.</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Item 3. Legal Proceedings</w:t>
      </w:r>
      <w:r>
        <w:rPr>
          <w:rFonts w:ascii="Arial" w:cs="Arial" w:eastAsia="Arial" w:hAnsi="Arial"/>
          <w:sz w:val="18"/>
          <w:szCs w:val="18"/>
          <w:color w:val="auto"/>
        </w:rPr>
        <w:t xml:space="preserve"> on page 30 for more information.</w:t>
      </w:r>
    </w:p>
    <w:p>
      <w:pPr>
        <w:spacing w:after="0" w:line="101"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If any of the foregoing existing or future antidumping and countervailing duties are overturned on appeal or not extended beyond their current terms and dumping and/or subsidization recurs, or manufacturers in the subject countries continue to circumvent the existing duties through transshipment in other jurisdictions or otherwise, our market share, sales, profit margins, and earnings have been, and could continue to be, adversely affected.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Insurance Gain</w:t>
      </w:r>
    </w:p>
    <w:p>
      <w:pPr>
        <w:spacing w:after="0" w:line="115" w:lineRule="exact"/>
        <w:rPr>
          <w:sz w:val="20"/>
          <w:szCs w:val="20"/>
          <w:color w:val="auto"/>
        </w:rPr>
      </w:pPr>
    </w:p>
    <w:p>
      <w:pPr>
        <w:ind w:right="320" w:firstLine="402"/>
        <w:spacing w:after="0" w:line="265" w:lineRule="auto"/>
        <w:rPr>
          <w:sz w:val="20"/>
          <w:szCs w:val="20"/>
          <w:color w:val="auto"/>
        </w:rPr>
      </w:pPr>
      <w:r>
        <w:rPr>
          <w:rFonts w:ascii="Arial" w:cs="Arial" w:eastAsia="Arial" w:hAnsi="Arial"/>
          <w:sz w:val="18"/>
          <w:szCs w:val="18"/>
          <w:color w:val="auto"/>
        </w:rPr>
        <w:t>In the third quarter of 2025, a fire damaged and destroyed equipment and machinery that had been stored in a leased location for the Bedding Products segment. The claim was approved by our insurance carriers and finalized in December 2025. Insurance proceeds of $45 million were received in 2025, with an additional $2 million received in January 2026, resulting in a net $35 million gain.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Pension Settlement</w:t>
      </w:r>
    </w:p>
    <w:p>
      <w:pPr>
        <w:spacing w:after="0" w:line="115" w:lineRule="exact"/>
        <w:rPr>
          <w:sz w:val="20"/>
          <w:szCs w:val="20"/>
          <w:color w:val="auto"/>
        </w:rPr>
      </w:pPr>
    </w:p>
    <w:p>
      <w:pPr>
        <w:ind w:right="140" w:firstLine="402"/>
        <w:spacing w:after="0" w:line="257" w:lineRule="auto"/>
        <w:rPr>
          <w:sz w:val="20"/>
          <w:szCs w:val="20"/>
          <w:color w:val="auto"/>
        </w:rPr>
      </w:pPr>
      <w:r>
        <w:rPr>
          <w:rFonts w:ascii="Arial" w:cs="Arial" w:eastAsia="Arial" w:hAnsi="Arial"/>
          <w:sz w:val="18"/>
          <w:szCs w:val="18"/>
          <w:color w:val="auto"/>
        </w:rPr>
        <w:t xml:space="preserve">In November 2025, we liquidated our most significant defined benefit plan through the distribution of plan assets and transfer of benefit obligations to an unrelated third-party insurance company. In connection, non-cash settlement charges of $22 million and $1 million were recorded for the years ended December 31, 2025 and 2024, respectively, and an employer contribution of $6 million was made in the fourth quarter of 2025. At December 31, 2025, the remaining net liability for this plan was $1 million and is expected to be fully settled by mid-2026. For more information on the pension settlement, see </w:t>
      </w:r>
      <w:r>
        <w:rPr>
          <w:rFonts w:ascii="Arial" w:cs="Arial" w:eastAsia="Arial" w:hAnsi="Arial"/>
          <w:sz w:val="18"/>
          <w:szCs w:val="18"/>
          <w:u w:val="single" w:color="auto"/>
          <w:color w:val="0000FF"/>
        </w:rPr>
        <w:t>Note M</w:t>
      </w:r>
      <w:r>
        <w:rPr>
          <w:rFonts w:ascii="Arial" w:cs="Arial" w:eastAsia="Arial" w:hAnsi="Arial"/>
          <w:sz w:val="18"/>
          <w:szCs w:val="18"/>
          <w:color w:val="auto"/>
        </w:rPr>
        <w:t xml:space="preserve"> to the Consolidated Financial Statements on page 110.</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OPERATIONS—2025 vs. 2024</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15" w:lineRule="exact"/>
        <w:rPr>
          <w:sz w:val="20"/>
          <w:szCs w:val="20"/>
          <w:color w:val="auto"/>
        </w:rPr>
      </w:pPr>
    </w:p>
    <w:p>
      <w:pPr>
        <w:ind w:right="360" w:firstLine="402"/>
        <w:spacing w:after="0" w:line="277" w:lineRule="auto"/>
        <w:rPr>
          <w:sz w:val="20"/>
          <w:szCs w:val="20"/>
          <w:color w:val="auto"/>
        </w:rPr>
      </w:pPr>
      <w:r>
        <w:rPr>
          <w:rFonts w:ascii="Arial" w:cs="Arial" w:eastAsia="Arial" w:hAnsi="Arial"/>
          <w:sz w:val="18"/>
          <w:szCs w:val="18"/>
          <w:color w:val="auto"/>
        </w:rPr>
        <w:t>The following table shows the changes in sales and earnings during 2025 and identifies the major factors contributing to the changes from prior year.</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96"/>
        </w:trPr>
        <w:tc>
          <w:tcPr>
            <w:tcW w:w="7480" w:type="dxa"/>
            <w:vAlign w:val="bottom"/>
          </w:tcPr>
          <w:p>
            <w:pPr>
              <w:spacing w:after="0"/>
              <w:rPr>
                <w:sz w:val="20"/>
                <w:szCs w:val="20"/>
                <w:color w:val="auto"/>
              </w:rPr>
            </w:pPr>
            <w:r>
              <w:rPr>
                <w:rFonts w:ascii="Arial" w:cs="Arial" w:eastAsia="Arial" w:hAnsi="Arial"/>
                <w:sz w:val="14"/>
                <w:szCs w:val="14"/>
                <w:b w:val="1"/>
                <w:bCs w:val="1"/>
                <w:color w:val="auto"/>
              </w:rPr>
              <w:t>(Dollar amounts in millions, except per share data)</w:t>
            </w:r>
          </w:p>
        </w:tc>
        <w:tc>
          <w:tcPr>
            <w:tcW w:w="220" w:type="dxa"/>
            <w:vAlign w:val="bottom"/>
          </w:tcPr>
          <w:p>
            <w:pPr>
              <w:spacing w:after="0"/>
              <w:rPr>
                <w:sz w:val="17"/>
                <w:szCs w:val="17"/>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trade sales: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Year ended December 31, 2024</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Divestitures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1"/>
        </w:trPr>
        <w:tc>
          <w:tcPr>
            <w:tcW w:w="7480" w:type="dxa"/>
            <w:vAlign w:val="bottom"/>
          </w:tcPr>
          <w:p>
            <w:pPr>
              <w:ind w:left="340"/>
              <w:spacing w:after="0"/>
              <w:rPr>
                <w:sz w:val="20"/>
                <w:szCs w:val="20"/>
                <w:color w:val="auto"/>
              </w:rPr>
            </w:pPr>
            <w:r>
              <w:rPr>
                <w:rFonts w:ascii="Arial" w:cs="Arial" w:eastAsia="Arial" w:hAnsi="Arial"/>
                <w:sz w:val="18"/>
                <w:szCs w:val="18"/>
                <w:color w:val="auto"/>
              </w:rPr>
              <w:t>2024 sales excluding divestitures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Approximate volume declines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7480" w:type="dxa"/>
            <w:vAlign w:val="bottom"/>
          </w:tcPr>
          <w:p>
            <w:pPr>
              <w:ind w:left="680"/>
              <w:spacing w:after="0"/>
              <w:rPr>
                <w:sz w:val="20"/>
                <w:szCs w:val="20"/>
                <w:color w:val="auto"/>
              </w:rPr>
            </w:pPr>
            <w:r>
              <w:rPr>
                <w:rFonts w:ascii="Arial" w:cs="Arial" w:eastAsia="Arial" w:hAnsi="Arial"/>
                <w:sz w:val="18"/>
                <w:szCs w:val="18"/>
                <w:color w:val="auto"/>
              </w:rPr>
              <w:t>Approximate raw material-related deflation and currency impact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6"/>
        </w:trPr>
        <w:tc>
          <w:tcPr>
            <w:tcW w:w="7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2025</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Earnings: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(Dollar amounts, net of tax)</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Arial" w:cs="Arial" w:eastAsia="Arial" w:hAnsi="Arial"/>
                <w:sz w:val="18"/>
                <w:szCs w:val="18"/>
                <w:color w:val="auto"/>
              </w:rPr>
              <w:t>Year ended December 31, 2024</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Non-recurring 2024 goodwill impairment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660"/>
              <w:spacing w:after="0"/>
              <w:rPr>
                <w:sz w:val="20"/>
                <w:szCs w:val="20"/>
                <w:color w:val="auto"/>
              </w:rPr>
            </w:pPr>
            <w:r>
              <w:rPr>
                <w:rFonts w:ascii="Arial" w:cs="Arial" w:eastAsia="Arial" w:hAnsi="Arial"/>
                <w:sz w:val="18"/>
                <w:szCs w:val="18"/>
                <w:color w:val="auto"/>
              </w:rPr>
              <w:t>2025 gain on sale of Aerospace Products Group</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480" w:type="dxa"/>
            <w:vAlign w:val="bottom"/>
            <w:shd w:val="clear" w:color="auto" w:fill="CCEEFF"/>
          </w:tcPr>
          <w:p>
            <w:pPr>
              <w:ind w:left="660"/>
              <w:spacing w:after="0" w:line="175" w:lineRule="exact"/>
              <w:rPr>
                <w:sz w:val="20"/>
                <w:szCs w:val="20"/>
                <w:color w:val="auto"/>
              </w:rPr>
            </w:pPr>
            <w:r>
              <w:rPr>
                <w:rFonts w:ascii="Arial" w:cs="Arial" w:eastAsia="Arial" w:hAnsi="Arial"/>
                <w:sz w:val="18"/>
                <w:szCs w:val="18"/>
                <w:color w:val="auto"/>
              </w:rPr>
              <w:t>Increased net gain from insurance proceeds in 2025 related to a storage facility fire</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versus 2024 related to tornado damage</w:t>
            </w: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480" w:type="dxa"/>
            <w:vAlign w:val="bottom"/>
          </w:tcPr>
          <w:p>
            <w:pPr>
              <w:ind w:left="660"/>
              <w:spacing w:after="0" w:line="175" w:lineRule="exact"/>
              <w:rPr>
                <w:sz w:val="20"/>
                <w:szCs w:val="20"/>
                <w:color w:val="auto"/>
              </w:rPr>
            </w:pPr>
            <w:r>
              <w:rPr>
                <w:rFonts w:ascii="Arial" w:cs="Arial" w:eastAsia="Arial" w:hAnsi="Arial"/>
                <w:sz w:val="18"/>
                <w:szCs w:val="18"/>
                <w:color w:val="auto"/>
              </w:rPr>
              <w:t>Decreased 2025 restructuring, restructuring-related, and impairment charges versus</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80" w:type="dxa"/>
            <w:vAlign w:val="bottom"/>
          </w:tcPr>
          <w:p>
            <w:pPr>
              <w:ind w:left="66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2025 pension settlement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660"/>
              <w:spacing w:after="0"/>
              <w:rPr>
                <w:sz w:val="20"/>
                <w:szCs w:val="20"/>
                <w:color w:val="auto"/>
              </w:rPr>
            </w:pPr>
            <w:r>
              <w:rPr>
                <w:rFonts w:ascii="Arial" w:cs="Arial" w:eastAsia="Arial" w:hAnsi="Arial"/>
                <w:sz w:val="18"/>
                <w:szCs w:val="18"/>
                <w:color w:val="auto"/>
              </w:rPr>
              <w:t>Non-recurring 2024 CEO transition costs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Reduced 2025 special tax item versus 2024</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660"/>
              <w:spacing w:after="0"/>
              <w:rPr>
                <w:sz w:val="20"/>
                <w:szCs w:val="20"/>
                <w:color w:val="auto"/>
              </w:rPr>
            </w:pPr>
            <w:r>
              <w:rPr>
                <w:rFonts w:ascii="Arial" w:cs="Arial" w:eastAsia="Arial" w:hAnsi="Arial"/>
                <w:sz w:val="18"/>
                <w:szCs w:val="18"/>
                <w:color w:val="auto"/>
              </w:rPr>
              <w:t>2025 Somnigroup unsolicited offer evaluation costs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Offsetting 2024 and 2025 net real estate gains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660"/>
              <w:spacing w:after="0"/>
              <w:rPr>
                <w:sz w:val="20"/>
                <w:szCs w:val="20"/>
                <w:color w:val="auto"/>
              </w:rPr>
            </w:pPr>
            <w:r>
              <w:rPr>
                <w:rFonts w:ascii="Arial" w:cs="Arial" w:eastAsia="Arial" w:hAnsi="Arial"/>
                <w:sz w:val="18"/>
                <w:szCs w:val="18"/>
                <w:color w:val="auto"/>
              </w:rPr>
              <w:t>Other items, primarily lower volume, partially offset by metal margin expansion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4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restructuring benefit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2025</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2024 Earnings (Loss) Per Diluted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(3.73)</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2025 Earnings (Loss) Per Diluted Share</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40" w:firstLine="402"/>
        <w:spacing w:after="0" w:line="282" w:lineRule="auto"/>
        <w:rPr>
          <w:sz w:val="20"/>
          <w:szCs w:val="20"/>
          <w:color w:val="auto"/>
        </w:rPr>
      </w:pPr>
      <w:r>
        <w:rPr>
          <w:rFonts w:ascii="Arial" w:cs="Arial" w:eastAsia="Arial" w:hAnsi="Arial"/>
          <w:sz w:val="18"/>
          <w:szCs w:val="18"/>
          <w:color w:val="auto"/>
        </w:rPr>
        <w:t>Full-year trade sales decreased 7%, to $4.06 billion. Divestitures reduced sales 2%. Organic sales decreased 5%, with volume declines of 6% partially offset by raw material-related selling price increases and currency benefit of 1%.</w:t>
      </w:r>
    </w:p>
    <w:p>
      <w:pPr>
        <w:spacing w:after="0" w:line="36"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Earnings decreased as a result of the items listed in the above table. The special tax item in 2025 was an expense of $2 million related to U.S. corporate income tax law changes. The expense in 2024 was $5 million and is associated with a deferred tax asset valuation allowance related to a 2022 acquisition in our Specialized Products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Interest and Income Taxes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interest expense in 2025 was $13 million less than 2024 primarily due to lower average net debt levels in 2025 versus 2024.</w:t>
      </w:r>
    </w:p>
    <w:p>
      <w:pPr>
        <w:spacing w:after="0" w:line="142" w:lineRule="exact"/>
        <w:rPr>
          <w:sz w:val="20"/>
          <w:szCs w:val="20"/>
          <w:color w:val="auto"/>
        </w:rPr>
      </w:pPr>
    </w:p>
    <w:p>
      <w:pPr>
        <w:ind w:right="280" w:firstLine="402"/>
        <w:spacing w:after="0" w:line="259" w:lineRule="auto"/>
        <w:rPr>
          <w:sz w:val="20"/>
          <w:szCs w:val="20"/>
          <w:color w:val="auto"/>
        </w:rPr>
      </w:pPr>
      <w:r>
        <w:rPr>
          <w:rFonts w:ascii="Arial" w:cs="Arial" w:eastAsia="Arial" w:hAnsi="Arial"/>
          <w:sz w:val="18"/>
          <w:szCs w:val="18"/>
          <w:color w:val="auto"/>
        </w:rPr>
        <w:t>Our tax rate is determined by a combination of items, including the impact of discrete tax items that may occur. We utilize prudent tax planning strategies for opportunities to optimize our tax rate, but other factors, such as our overall profitability, the mix and level of earnings among jurisdictions, the type of income earned, business acquisitions and dispositions, the impact of tax audits, and the effect of tax law changes can also influence our rate.</w:t>
      </w:r>
    </w:p>
    <w:p>
      <w:pPr>
        <w:spacing w:after="0" w:line="112" w:lineRule="exact"/>
        <w:rPr>
          <w:sz w:val="20"/>
          <w:szCs w:val="20"/>
          <w:color w:val="auto"/>
        </w:rPr>
      </w:pPr>
    </w:p>
    <w:p>
      <w:pPr>
        <w:ind w:right="160" w:firstLine="402"/>
        <w:spacing w:after="0" w:line="282" w:lineRule="auto"/>
        <w:rPr>
          <w:sz w:val="20"/>
          <w:szCs w:val="20"/>
          <w:color w:val="auto"/>
        </w:rPr>
      </w:pPr>
      <w:r>
        <w:rPr>
          <w:rFonts w:ascii="Arial" w:cs="Arial" w:eastAsia="Arial" w:hAnsi="Arial"/>
          <w:sz w:val="18"/>
          <w:szCs w:val="18"/>
          <w:color w:val="auto"/>
        </w:rPr>
        <w:t>Our worldwide effective income tax rate was approximately 19% in 2025 and 0% in 2024. Significant factors impacting our rate for each year are identified below.</w:t>
      </w:r>
    </w:p>
    <w:p>
      <w:pPr>
        <w:spacing w:after="0" w:line="77"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 xml:space="preserve">In 2025, the U.S. statutory federal income tax rate of 21% was favorably impacted by 6% due to beneficial tax impacts from the Aerospace Products Group divestiture (see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and 2% related to the non-cash settlement charges associated with the termination and liquidation of one of our domestic defined benefit plans (see </w:t>
      </w:r>
      <w:r>
        <w:rPr>
          <w:rFonts w:ascii="Arial" w:cs="Arial" w:eastAsia="Arial" w:hAnsi="Arial"/>
          <w:sz w:val="18"/>
          <w:szCs w:val="18"/>
          <w:u w:val="single" w:color="auto"/>
          <w:color w:val="0000FF"/>
        </w:rPr>
        <w:t>Note M</w:t>
      </w:r>
      <w:r>
        <w:rPr>
          <w:rFonts w:ascii="Arial" w:cs="Arial" w:eastAsia="Arial" w:hAnsi="Arial"/>
          <w:sz w:val="18"/>
          <w:szCs w:val="18"/>
          <w:color w:val="auto"/>
        </w:rPr>
        <w:t>). Offsetting adverse impacts were 4% related to foreign withholding taxes, 1% related to the enactment of Public Law 119-21, as discussed below, and 1% related to other less significant items.</w:t>
      </w:r>
    </w:p>
    <w:p>
      <w:pPr>
        <w:spacing w:after="0" w:line="112" w:lineRule="exact"/>
        <w:rPr>
          <w:sz w:val="20"/>
          <w:szCs w:val="20"/>
          <w:color w:val="auto"/>
        </w:rPr>
      </w:pPr>
    </w:p>
    <w:p>
      <w:pPr>
        <w:jc w:val="both"/>
        <w:ind w:right="20" w:firstLine="402"/>
        <w:spacing w:after="0" w:line="259" w:lineRule="auto"/>
        <w:rPr>
          <w:sz w:val="20"/>
          <w:szCs w:val="20"/>
          <w:color w:val="auto"/>
        </w:rPr>
      </w:pPr>
      <w:r>
        <w:rPr>
          <w:rFonts w:ascii="Arial" w:cs="Arial" w:eastAsia="Arial" w:hAnsi="Arial"/>
          <w:sz w:val="18"/>
          <w:szCs w:val="18"/>
          <w:color w:val="auto"/>
        </w:rPr>
        <w:t>In 2024, the U.S. statutory federal income tax rate of 21% (which resulted in a tax benefit due to taxable loss) was adversely impacted by 20% due to non-deductible tax effects from goodwill impairment charges, 2% related to foreign withholding taxes, and 1% related to a change in valuation allowance from a 2022 acquisition in our Specialized Products segment. An offsetting favorable impact of 2% was related to other less significant items.</w:t>
      </w:r>
    </w:p>
    <w:p>
      <w:pPr>
        <w:spacing w:after="0" w:line="112"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On July 4, 2025, President Trump signed Public Law 119-21 (also known as the "One Big Beautiful Bill"), which includes changes to the U.S. corporate income tax system, such as modifications to the limitation of interest deductibility, the reinstatement of 100% bonus depreciation, and the allowable immediate expensing of qualifying research and experimentation expenses. In addition, other U.S. corporate tax changes embodied in the legislation, including certain modifications to the international tax system, will be effective in 2026.</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on page 114 of the Notes to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Segment Results</w:t>
      </w:r>
    </w:p>
    <w:p>
      <w:pPr>
        <w:spacing w:after="0" w:line="115" w:lineRule="exact"/>
        <w:rPr>
          <w:sz w:val="20"/>
          <w:szCs w:val="20"/>
          <w:color w:val="auto"/>
        </w:rPr>
      </w:pPr>
    </w:p>
    <w:p>
      <w:pPr>
        <w:jc w:val="both"/>
        <w:ind w:right="480" w:firstLine="402"/>
        <w:spacing w:after="0" w:line="265" w:lineRule="auto"/>
        <w:rPr>
          <w:sz w:val="20"/>
          <w:szCs w:val="20"/>
          <w:color w:val="auto"/>
        </w:rPr>
      </w:pPr>
      <w:r>
        <w:rPr>
          <w:rFonts w:ascii="Arial" w:cs="Arial" w:eastAsia="Arial" w:hAnsi="Arial"/>
          <w:sz w:val="18"/>
          <w:szCs w:val="18"/>
          <w:color w:val="auto"/>
        </w:rPr>
        <w:t xml:space="preserve">In the following section we discuss 2025 sales and EBIT (earnings before interest and taxes) for each of our segments. We provide additional detail about segment results in </w:t>
      </w:r>
      <w:r>
        <w:rPr>
          <w:rFonts w:ascii="Arial" w:cs="Arial" w:eastAsia="Arial" w:hAnsi="Arial"/>
          <w:sz w:val="18"/>
          <w:szCs w:val="18"/>
          <w:u w:val="single" w:color="auto"/>
          <w:color w:val="0000FF"/>
        </w:rPr>
        <w:t>Note C</w:t>
      </w:r>
      <w:r>
        <w:rPr>
          <w:rFonts w:ascii="Arial" w:cs="Arial" w:eastAsia="Arial" w:hAnsi="Arial"/>
          <w:sz w:val="18"/>
          <w:szCs w:val="18"/>
          <w:color w:val="auto"/>
        </w:rPr>
        <w:t xml:space="preserve"> on page 88 of the Notes to Consolidated Financial Statements. We use EBIT to assess operational performance, and it is useful to investors as it aids in understanding of underlying operational profitability.</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vMerge w:val="restart"/>
          </w:tcPr>
          <w:p>
            <w:pPr>
              <w:jc w:val="right"/>
              <w:ind w:right="440"/>
              <w:spacing w:after="0"/>
              <w:rPr>
                <w:sz w:val="20"/>
                <w:szCs w:val="20"/>
                <w:color w:val="auto"/>
              </w:rPr>
            </w:pPr>
            <w:r>
              <w:rPr>
                <w:rFonts w:ascii="Arial" w:cs="Arial" w:eastAsia="Arial" w:hAnsi="Arial"/>
                <w:sz w:val="16"/>
                <w:szCs w:val="16"/>
                <w:b w:val="1"/>
                <w:bCs w:val="1"/>
                <w:color w:val="auto"/>
              </w:rPr>
              <w:t>Change in Sales</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Organic</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80" w:type="dxa"/>
            <w:vAlign w:val="bottom"/>
          </w:tcPr>
          <w:p>
            <w:pPr>
              <w:spacing w:after="0"/>
              <w:rPr>
                <w:sz w:val="20"/>
                <w:szCs w:val="20"/>
                <w:color w:val="auto"/>
              </w:rPr>
            </w:pPr>
            <w:r>
              <w:rPr>
                <w:rFonts w:ascii="Arial" w:cs="Arial" w:eastAsia="Arial" w:hAnsi="Arial"/>
                <w:sz w:val="14"/>
                <w:szCs w:val="14"/>
                <w:b w:val="1"/>
                <w:bCs w:val="1"/>
                <w:color w:val="auto"/>
              </w:rPr>
              <w:t>(Dollar amounts in millions)</w:t>
            </w:r>
          </w:p>
        </w:tc>
        <w:tc>
          <w:tcPr>
            <w:tcW w:w="240" w:type="dxa"/>
            <w:vAlign w:val="bottom"/>
          </w:tcPr>
          <w:p>
            <w:pPr>
              <w:spacing w:after="0"/>
              <w:rPr>
                <w:sz w:val="20"/>
                <w:szCs w:val="20"/>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8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60" w:type="dxa"/>
            <w:vAlign w:val="bottom"/>
          </w:tcPr>
          <w:p>
            <w:pPr>
              <w:jc w:val="center"/>
              <w:spacing w:after="0" w:line="234" w:lineRule="exact"/>
              <w:rPr>
                <w:sz w:val="20"/>
                <w:szCs w:val="20"/>
                <w:color w:val="auto"/>
              </w:rPr>
            </w:pPr>
            <w:r>
              <w:rPr>
                <w:rFonts w:ascii="Arial" w:cs="Arial" w:eastAsia="Arial" w:hAnsi="Arial"/>
                <w:sz w:val="16"/>
                <w:szCs w:val="16"/>
                <w:b w:val="1"/>
                <w:bCs w:val="1"/>
                <w:color w:val="auto"/>
                <w:w w:val="94"/>
              </w:rPr>
              <w:t xml:space="preserve">Sales </w:t>
            </w:r>
            <w:r>
              <w:rPr>
                <w:rFonts w:ascii="Arial" w:cs="Arial" w:eastAsia="Arial" w:hAnsi="Arial"/>
                <w:sz w:val="23"/>
                <w:szCs w:val="23"/>
                <w:b w:val="1"/>
                <w:bCs w:val="1"/>
                <w:color w:val="auto"/>
                <w:w w:val="94"/>
                <w:vertAlign w:val="superscript"/>
              </w:rPr>
              <w:t>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380" w:type="dxa"/>
            <w:vAlign w:val="bottom"/>
          </w:tcPr>
          <w:p>
            <w:pPr>
              <w:spacing w:after="0"/>
              <w:rPr>
                <w:sz w:val="20"/>
                <w:szCs w:val="20"/>
                <w:color w:val="auto"/>
              </w:rPr>
            </w:pPr>
            <w:r>
              <w:rPr>
                <w:rFonts w:ascii="Arial" w:cs="Arial" w:eastAsia="Arial" w:hAnsi="Arial"/>
                <w:sz w:val="16"/>
                <w:szCs w:val="16"/>
                <w:b w:val="1"/>
                <w:bCs w:val="1"/>
                <w:color w:val="auto"/>
              </w:rPr>
              <w:t>Trade sales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Specialized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(116.7)</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(9.4)</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320"/>
              <w:spacing w:after="0"/>
              <w:rPr>
                <w:sz w:val="20"/>
                <w:szCs w:val="20"/>
                <w:color w:val="auto"/>
              </w:rPr>
            </w:pPr>
            <w:r>
              <w:rPr>
                <w:rFonts w:ascii="Arial" w:cs="Arial" w:eastAsia="Arial" w:hAnsi="Arial"/>
                <w:sz w:val="16"/>
                <w:szCs w:val="16"/>
                <w:color w:val="auto"/>
              </w:rPr>
              <w:t>Total trade sales</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4,055.1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Change in EBIT</w:t>
            </w:r>
          </w:p>
        </w:tc>
        <w:tc>
          <w:tcPr>
            <w:tcW w:w="1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6"/>
                <w:szCs w:val="16"/>
                <w:b w:val="1"/>
                <w:bCs w:val="1"/>
                <w:color w:val="auto"/>
              </w:rPr>
              <w:t>EBIT Margins</w:t>
            </w:r>
          </w:p>
        </w:tc>
        <w:tc>
          <w:tcPr>
            <w:tcW w:w="0" w:type="dxa"/>
            <w:vAlign w:val="bottom"/>
          </w:tcPr>
          <w:p>
            <w:pPr>
              <w:spacing w:after="0"/>
              <w:rPr>
                <w:sz w:val="1"/>
                <w:szCs w:val="1"/>
                <w:color w:val="auto"/>
              </w:rPr>
            </w:pPr>
          </w:p>
        </w:tc>
      </w:tr>
      <w:tr>
        <w:trPr>
          <w:trHeight w:val="288"/>
        </w:trPr>
        <w:tc>
          <w:tcPr>
            <w:tcW w:w="3380" w:type="dxa"/>
            <w:vAlign w:val="bottom"/>
            <w:vMerge w:val="restart"/>
          </w:tcPr>
          <w:p>
            <w:pPr>
              <w:spacing w:after="0"/>
              <w:rPr>
                <w:sz w:val="20"/>
                <w:szCs w:val="20"/>
                <w:color w:val="auto"/>
              </w:rPr>
            </w:pPr>
            <w:r>
              <w:rPr>
                <w:rFonts w:ascii="Arial" w:cs="Arial" w:eastAsia="Arial" w:hAnsi="Arial"/>
                <w:sz w:val="16"/>
                <w:szCs w:val="16"/>
                <w:b w:val="1"/>
                <w:bCs w:val="1"/>
                <w:color w:val="auto"/>
              </w:rPr>
              <w:t>EBIT</w:t>
            </w:r>
          </w:p>
        </w:tc>
        <w:tc>
          <w:tcPr>
            <w:tcW w:w="24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8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2025</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Specialized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139.9</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217.2</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18.2</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4"/>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Intersegment eliminations &amp; 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80" w:type="dxa"/>
            <w:vAlign w:val="bottom"/>
            <w:tcBorders>
              <w:bottom w:val="single" w:sz="8" w:color="CCEEFF"/>
            </w:tcBorders>
            <w:shd w:val="clear" w:color="auto" w:fill="CCEEFF"/>
          </w:tcPr>
          <w:p>
            <w:pPr>
              <w:ind w:left="320"/>
              <w:spacing w:after="0" w:line="209" w:lineRule="exact"/>
              <w:rPr>
                <w:sz w:val="20"/>
                <w:szCs w:val="20"/>
                <w:color w:val="auto"/>
              </w:rPr>
            </w:pPr>
            <w:r>
              <w:rPr>
                <w:rFonts w:ascii="Arial" w:cs="Arial" w:eastAsia="Arial" w:hAnsi="Arial"/>
                <w:sz w:val="16"/>
                <w:szCs w:val="16"/>
                <w:color w:val="auto"/>
              </w:rPr>
              <w:t xml:space="preserve">Total EBIT </w:t>
            </w:r>
            <w:r>
              <w:rPr>
                <w:rFonts w:ascii="Arial" w:cs="Arial" w:eastAsia="Arial" w:hAnsi="Arial"/>
                <w:sz w:val="23"/>
                <w:szCs w:val="23"/>
                <w:b w:val="1"/>
                <w:bCs w:val="1"/>
                <w:color w:val="auto"/>
                <w:vertAlign w:val="superscript"/>
              </w:rPr>
              <w:t>2</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785.9</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380" w:type="dxa"/>
            <w:vAlign w:val="bottom"/>
            <w:vMerge w:val="restart"/>
          </w:tcPr>
          <w:p>
            <w:pPr>
              <w:spacing w:after="0"/>
              <w:rPr>
                <w:sz w:val="20"/>
                <w:szCs w:val="20"/>
                <w:color w:val="auto"/>
              </w:rPr>
            </w:pPr>
            <w:r>
              <w:rPr>
                <w:rFonts w:ascii="Arial" w:cs="Arial" w:eastAsia="Arial" w:hAnsi="Arial"/>
                <w:sz w:val="16"/>
                <w:szCs w:val="16"/>
                <w:b w:val="1"/>
                <w:bCs w:val="1"/>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Bedding Products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Specialized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Furniture, Flooring &amp; Textile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80" w:type="dxa"/>
            <w:vAlign w:val="bottom"/>
            <w:tcBorders>
              <w:bottom w:val="single" w:sz="8" w:color="CCEEFF"/>
            </w:tcBorders>
          </w:tcPr>
          <w:p>
            <w:pPr>
              <w:spacing w:after="0" w:line="214" w:lineRule="exact"/>
              <w:rPr>
                <w:sz w:val="20"/>
                <w:szCs w:val="20"/>
                <w:color w:val="auto"/>
              </w:rPr>
            </w:pPr>
            <w:r>
              <w:rPr>
                <w:rFonts w:ascii="Arial" w:cs="Arial" w:eastAsia="Arial" w:hAnsi="Arial"/>
                <w:sz w:val="16"/>
                <w:szCs w:val="16"/>
                <w:color w:val="auto"/>
              </w:rPr>
              <w:t xml:space="preserve">Unallocated </w:t>
            </w:r>
            <w:r>
              <w:rPr>
                <w:rFonts w:ascii="Arial" w:cs="Arial" w:eastAsia="Arial" w:hAnsi="Arial"/>
                <w:sz w:val="23"/>
                <w:szCs w:val="23"/>
                <w:b w:val="1"/>
                <w:bCs w:val="1"/>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depreciation and amortization</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580" w:right="700" w:hanging="171"/>
        <w:spacing w:after="0" w:line="204" w:lineRule="auto"/>
        <w:tabs>
          <w:tab w:leader="none" w:pos="546" w:val="left"/>
        </w:tabs>
        <w:numPr>
          <w:ilvl w:val="0"/>
          <w:numId w:val="31"/>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is the change in sales not attributable to acquisitions or divestitures in the last 12 months. Refer to the respective segment discussion below for a reconciliation of the change in total segment sales to organic sales.</w:t>
      </w:r>
    </w:p>
    <w:p>
      <w:pPr>
        <w:spacing w:after="0" w:line="73" w:lineRule="exact"/>
        <w:rPr>
          <w:sz w:val="20"/>
          <w:szCs w:val="20"/>
          <w:color w:val="auto"/>
        </w:rPr>
      </w:pPr>
    </w:p>
    <w:p>
      <w:pPr>
        <w:ind w:left="580" w:right="260" w:hanging="171"/>
        <w:spacing w:after="0" w:line="216" w:lineRule="auto"/>
        <w:tabs>
          <w:tab w:leader="none" w:pos="535" w:val="left"/>
        </w:tabs>
        <w:numPr>
          <w:ilvl w:val="0"/>
          <w:numId w:val="32"/>
        </w:numPr>
        <w:rPr>
          <w:rFonts w:ascii="Arial" w:cs="Arial" w:eastAsia="Arial" w:hAnsi="Arial"/>
          <w:sz w:val="28"/>
          <w:szCs w:val="28"/>
          <w:b w:val="1"/>
          <w:bCs w:val="1"/>
          <w:color w:val="auto"/>
          <w:vertAlign w:val="superscript"/>
        </w:rPr>
      </w:pPr>
      <w:r>
        <w:rPr>
          <w:rFonts w:ascii="Arial" w:cs="Arial" w:eastAsia="Arial" w:hAnsi="Arial"/>
          <w:sz w:val="18"/>
          <w:szCs w:val="18"/>
          <w:color w:val="auto"/>
        </w:rPr>
        <w:t>Total 2025 EBIT of $356.0 million less interest expense net of interest income of $66.3 million and income tax of $54.3 million equals 2025 Net earnings (loss) of $235.4 million. Total 2024 EBIT of $(429.9) million less interest expense net of interest income of $79.3 million and income tax of $2.2 million equals 2024 Net earnings (loss) of $(511.4) million.</w:t>
      </w:r>
    </w:p>
    <w:p>
      <w:pPr>
        <w:spacing w:after="0" w:line="136" w:lineRule="exact"/>
        <w:rPr>
          <w:sz w:val="20"/>
          <w:szCs w:val="20"/>
          <w:color w:val="auto"/>
        </w:rPr>
      </w:pPr>
    </w:p>
    <w:p>
      <w:pPr>
        <w:ind w:left="520" w:hanging="111"/>
        <w:spacing w:after="0"/>
        <w:tabs>
          <w:tab w:leader="none" w:pos="520" w:val="left"/>
        </w:tabs>
        <w:numPr>
          <w:ilvl w:val="0"/>
          <w:numId w:val="33"/>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consists primarily of depreciation and amortization of non-operating assets.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101" w:lineRule="exact"/>
        <w:rPr>
          <w:sz w:val="20"/>
          <w:szCs w:val="20"/>
          <w:color w:val="auto"/>
        </w:rPr>
      </w:pPr>
    </w:p>
    <w:p>
      <w:pPr>
        <w:ind w:right="280" w:firstLine="402"/>
        <w:spacing w:after="0" w:line="257" w:lineRule="auto"/>
        <w:rPr>
          <w:sz w:val="20"/>
          <w:szCs w:val="20"/>
          <w:color w:val="auto"/>
        </w:rPr>
      </w:pPr>
      <w:r>
        <w:rPr>
          <w:rFonts w:ascii="Arial" w:cs="Arial" w:eastAsia="Arial" w:hAnsi="Arial"/>
          <w:sz w:val="18"/>
          <w:szCs w:val="18"/>
          <w:color w:val="auto"/>
        </w:rPr>
        <w:t>Trade sales decreased 11%. The divestiture of a small U.S. machinery business that was part of the 2024 Plan reduced sales 1%. Organic sales were down 10%. Volume declines of 12% were primarily due to sales weakness at a certain customer and retailer merchandising changes in Adjustable Bed and Specialty Foam, demand softness in U.S. and European bedding markets, restructuring-related sales attrition, and the exit of a customer in Specialty Foam, partially offset by higher trade rod and wire sales. Raw material-related selling price increases and currency benefit added 2% to sales.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EBIT increased $648 million, primarily due to the year-over-year changes from the items listed below, as well as metal margin expansion, restructuring benefit, favorable sales mix in Steel Rod and U.S. Spring, and operational efficiency improvements in Specialty Foam. These increases were partially offset by lower volume.</w:t>
      </w:r>
    </w:p>
    <w:p>
      <w:pPr>
        <w:spacing w:after="0" w:line="78"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2024</w:t>
            </w:r>
          </w:p>
        </w:tc>
      </w:tr>
      <w:tr>
        <w:trPr>
          <w:trHeight w:val="22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from insurance proceeds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restructuring-related, and impairment charges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46"/>
        </w:trPr>
        <w:tc>
          <w:tcPr>
            <w:tcW w:w="6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20"/>
        <w:spacing w:after="0"/>
        <w:rPr>
          <w:sz w:val="20"/>
          <w:szCs w:val="20"/>
          <w:color w:val="auto"/>
        </w:rPr>
      </w:pPr>
      <w:r>
        <w:rPr>
          <w:rFonts w:ascii="Arial" w:cs="Arial" w:eastAsia="Arial" w:hAnsi="Arial"/>
          <w:sz w:val="21"/>
          <w:szCs w:val="21"/>
          <w:u w:val="single" w:color="auto"/>
          <w:color w:val="auto"/>
        </w:rPr>
        <w:t>Specialized Products</w:t>
      </w:r>
    </w:p>
    <w:p>
      <w:pPr>
        <w:spacing w:after="0" w:line="101" w:lineRule="exact"/>
        <w:rPr>
          <w:sz w:val="20"/>
          <w:szCs w:val="20"/>
          <w:color w:val="auto"/>
        </w:rPr>
      </w:pPr>
    </w:p>
    <w:p>
      <w:pPr>
        <w:ind w:right="160" w:firstLine="442"/>
        <w:spacing w:after="0" w:line="265" w:lineRule="auto"/>
        <w:rPr>
          <w:sz w:val="20"/>
          <w:szCs w:val="20"/>
          <w:color w:val="auto"/>
        </w:rPr>
      </w:pPr>
      <w:r>
        <w:rPr>
          <w:rFonts w:ascii="Arial" w:cs="Arial" w:eastAsia="Arial" w:hAnsi="Arial"/>
          <w:sz w:val="18"/>
          <w:szCs w:val="18"/>
          <w:color w:val="auto"/>
        </w:rPr>
        <w:t>Trade sales decreased 9%. The divestiture of the Aerospace Products Group reduced sales 5%. Organic sales decreased 4%. Volume decreased 5% from declines in Automotive and Hydraulic Cylinders partially offset by growth in Aerospace in the first half of the year. Raw material-related selling price increases and currency benefit added 1% to sales.</w:t>
      </w:r>
    </w:p>
    <w:p>
      <w:pPr>
        <w:spacing w:after="0" w:line="52" w:lineRule="exact"/>
        <w:rPr>
          <w:sz w:val="20"/>
          <w:szCs w:val="20"/>
          <w:color w:val="auto"/>
        </w:rPr>
      </w:pPr>
    </w:p>
    <w:p>
      <w:pPr>
        <w:ind w:right="460" w:firstLine="442"/>
        <w:spacing w:after="0" w:line="265" w:lineRule="auto"/>
        <w:rPr>
          <w:sz w:val="20"/>
          <w:szCs w:val="20"/>
          <w:color w:val="auto"/>
        </w:rPr>
      </w:pPr>
      <w:r>
        <w:rPr>
          <w:rFonts w:ascii="Arial" w:cs="Arial" w:eastAsia="Arial" w:hAnsi="Arial"/>
          <w:sz w:val="18"/>
          <w:szCs w:val="18"/>
          <w:color w:val="auto"/>
        </w:rPr>
        <w:t>EBIT increased $140 million, primarily due to the year-over-year changes from the items listed below, as well as pricing actions, operational efficiency improvements, and restructuring benefit, partially offset by lower volume and earnings associated with the divested Aerospace business.</w:t>
      </w:r>
    </w:p>
    <w:p>
      <w:pPr>
        <w:spacing w:after="0" w:line="92"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2024</w:t>
            </w:r>
          </w:p>
        </w:tc>
      </w:tr>
      <w:tr>
        <w:trPr>
          <w:trHeight w:val="22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Aerospace Products Group</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restructuring-related, and impairment charges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6"/>
        </w:trPr>
        <w:tc>
          <w:tcPr>
            <w:tcW w:w="6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Trade sales decreased 1%. The divestiture of a small Work Furniture operation reduced sales less than 1%. Organic sales were down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 Volume was flat year over year from demand softness in Home Furniture and Flooring offset by growth in Textiles and Work Furniture.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Raw material-related selling price decreases, net of currency benefit, reduced sales 1%.</w:t>
      </w:r>
    </w:p>
    <w:p>
      <w:pPr>
        <w:spacing w:after="0" w:line="83" w:lineRule="exact"/>
        <w:rPr>
          <w:sz w:val="20"/>
          <w:szCs w:val="20"/>
          <w:color w:val="auto"/>
        </w:rPr>
      </w:pPr>
    </w:p>
    <w:p>
      <w:pPr>
        <w:ind w:right="380" w:firstLine="402"/>
        <w:spacing w:after="0" w:line="265" w:lineRule="auto"/>
        <w:rPr>
          <w:sz w:val="20"/>
          <w:szCs w:val="20"/>
          <w:color w:val="auto"/>
        </w:rPr>
      </w:pPr>
      <w:r>
        <w:rPr>
          <w:rFonts w:ascii="Arial" w:cs="Arial" w:eastAsia="Arial" w:hAnsi="Arial"/>
          <w:sz w:val="18"/>
          <w:szCs w:val="18"/>
          <w:color w:val="auto"/>
        </w:rPr>
        <w:t>EBIT increased $ 20 million, primarily due to the year-over-year changes from the items listed below, partially offset by pricing adjustments, currency impact, start-up costs associated with a new Home Furniture facility in Vietnam, and the aggregate of other smaller items.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20" w:type="dxa"/>
            <w:vAlign w:val="bottom"/>
          </w:tcPr>
          <w:p>
            <w:pPr>
              <w:spacing w:after="0"/>
              <w:rPr>
                <w:sz w:val="20"/>
                <w:szCs w:val="20"/>
                <w:color w:val="auto"/>
              </w:rPr>
            </w:pPr>
          </w:p>
        </w:tc>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2024</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2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Net gain from insurance proceeds</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restructuring-related, and impairment charges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20" w:type="dxa"/>
            <w:vAlign w:val="bottom"/>
          </w:tcPr>
          <w:p>
            <w:pPr>
              <w:spacing w:after="0"/>
              <w:rPr>
                <w:sz w:val="20"/>
                <w:szCs w:val="20"/>
                <w:color w:val="auto"/>
              </w:rPr>
            </w:pPr>
          </w:p>
        </w:tc>
        <w:tc>
          <w:tcPr>
            <w:tcW w:w="6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620" w:type="dxa"/>
            <w:vAlign w:val="bottom"/>
            <w:vMerge w:val="continue"/>
          </w:tcPr>
          <w:p>
            <w:pPr>
              <w:spacing w:after="0"/>
              <w:rPr>
                <w:sz w:val="24"/>
                <w:szCs w:val="24"/>
                <w:color w:val="auto"/>
              </w:rPr>
            </w:pPr>
          </w:p>
        </w:tc>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620" w:type="dxa"/>
            <w:vAlign w:val="bottom"/>
            <w:tcBorders>
              <w:bottom w:val="single" w:sz="8" w:color="9A9A9A"/>
            </w:tcBorders>
          </w:tcPr>
          <w:p>
            <w:pPr>
              <w:spacing w:after="0"/>
              <w:rPr>
                <w:sz w:val="9"/>
                <w:szCs w:val="9"/>
                <w:color w:val="auto"/>
              </w:rPr>
            </w:pPr>
          </w:p>
        </w:tc>
        <w:tc>
          <w:tcPr>
            <w:tcW w:w="6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RESULTS OF OPERATIONS—2024 vs. 2023</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Consolidated Results</w:t>
      </w:r>
    </w:p>
    <w:p>
      <w:pPr>
        <w:spacing w:after="0" w:line="115"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The following table shows the changes in sales and earnings during 2024, and identifies the major factors contributing to the changes from prior year.</w:t>
      </w:r>
    </w:p>
    <w:p>
      <w:pPr>
        <w:spacing w:after="0" w:line="7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 except per share data)</w:t>
            </w:r>
          </w:p>
        </w:tc>
        <w:tc>
          <w:tcPr>
            <w:tcW w:w="16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right"/>
              <w:ind w:right="49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trade sales:</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Pr>
          <w:p>
            <w:pPr>
              <w:ind w:left="340"/>
              <w:spacing w:after="0"/>
              <w:rPr>
                <w:sz w:val="20"/>
                <w:szCs w:val="20"/>
                <w:color w:val="auto"/>
              </w:rPr>
            </w:pPr>
            <w:r>
              <w:rPr>
                <w:rFonts w:ascii="Arial" w:cs="Arial" w:eastAsia="Arial" w:hAnsi="Arial"/>
                <w:sz w:val="18"/>
                <w:szCs w:val="18"/>
                <w:color w:val="auto"/>
              </w:rPr>
              <w:t>Year ended December 31,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Approximate volume declines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8"/>
        </w:trPr>
        <w:tc>
          <w:tcPr>
            <w:tcW w:w="7440" w:type="dxa"/>
            <w:vAlign w:val="bottom"/>
          </w:tcPr>
          <w:p>
            <w:pPr>
              <w:ind w:left="640"/>
              <w:spacing w:after="0"/>
              <w:rPr>
                <w:sz w:val="20"/>
                <w:szCs w:val="20"/>
                <w:color w:val="auto"/>
              </w:rPr>
            </w:pPr>
            <w:r>
              <w:rPr>
                <w:rFonts w:ascii="Arial" w:cs="Arial" w:eastAsia="Arial" w:hAnsi="Arial"/>
                <w:sz w:val="18"/>
                <w:szCs w:val="18"/>
                <w:color w:val="auto"/>
              </w:rPr>
              <w:t>Approximate raw material-related deflation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420" w:type="dxa"/>
            <w:vAlign w:val="bottom"/>
            <w:gridSpan w:val="2"/>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6"/>
        </w:trPr>
        <w:tc>
          <w:tcPr>
            <w:tcW w:w="7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(Dollar amounts, net of tax)</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40" w:type="dxa"/>
            <w:vAlign w:val="bottom"/>
          </w:tcPr>
          <w:p>
            <w:pPr>
              <w:ind w:left="340"/>
              <w:spacing w:after="0"/>
              <w:rPr>
                <w:sz w:val="20"/>
                <w:szCs w:val="20"/>
                <w:color w:val="auto"/>
              </w:rPr>
            </w:pPr>
            <w:r>
              <w:rPr>
                <w:rFonts w:ascii="Arial" w:cs="Arial" w:eastAsia="Arial" w:hAnsi="Arial"/>
                <w:sz w:val="18"/>
                <w:szCs w:val="18"/>
                <w:color w:val="auto"/>
              </w:rPr>
              <w:t>Year ended December 31,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2024 goodwill impairment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Pr>
          <w:p>
            <w:pPr>
              <w:ind w:left="660"/>
              <w:spacing w:after="0"/>
              <w:rPr>
                <w:sz w:val="20"/>
                <w:szCs w:val="20"/>
                <w:color w:val="auto"/>
              </w:rPr>
            </w:pPr>
            <w:r>
              <w:rPr>
                <w:rFonts w:ascii="Arial" w:cs="Arial" w:eastAsia="Arial" w:hAnsi="Arial"/>
                <w:sz w:val="18"/>
                <w:szCs w:val="18"/>
                <w:color w:val="auto"/>
              </w:rPr>
              <w:t>Non-recurring 2023 long-lived asset impairment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2024 restructuring, restructuring-related, and impairment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Pr>
          <w:p>
            <w:pPr>
              <w:ind w:left="660"/>
              <w:spacing w:after="0"/>
              <w:rPr>
                <w:sz w:val="20"/>
                <w:szCs w:val="20"/>
                <w:color w:val="auto"/>
              </w:rPr>
            </w:pPr>
            <w:r>
              <w:rPr>
                <w:rFonts w:ascii="Arial" w:cs="Arial" w:eastAsia="Arial" w:hAnsi="Arial"/>
                <w:sz w:val="18"/>
                <w:szCs w:val="18"/>
                <w:color w:val="auto"/>
              </w:rPr>
              <w:t>Offsetting 2023 and 2024 net real estate gains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Offsetting 2023 and 2024 net gain from insurance proceeds from tornado damage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Pr>
          <w:p>
            <w:pPr>
              <w:ind w:left="660"/>
              <w:spacing w:after="0"/>
              <w:rPr>
                <w:sz w:val="20"/>
                <w:szCs w:val="20"/>
                <w:color w:val="auto"/>
              </w:rPr>
            </w:pPr>
            <w:r>
              <w:rPr>
                <w:rFonts w:ascii="Arial" w:cs="Arial" w:eastAsia="Arial" w:hAnsi="Arial"/>
                <w:sz w:val="18"/>
                <w:szCs w:val="18"/>
                <w:color w:val="auto"/>
              </w:rPr>
              <w:t>2024 CEO transition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Special tax item</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660"/>
              <w:spacing w:after="0"/>
              <w:rPr>
                <w:sz w:val="20"/>
                <w:szCs w:val="20"/>
                <w:color w:val="auto"/>
              </w:rPr>
            </w:pPr>
            <w:r>
              <w:rPr>
                <w:rFonts w:ascii="Arial" w:cs="Arial" w:eastAsia="Arial" w:hAnsi="Arial"/>
                <w:sz w:val="18"/>
                <w:szCs w:val="18"/>
                <w:color w:val="auto"/>
              </w:rPr>
              <w:t>Other items, primarily lower volume and unfavorable sales mix, raw material-related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440" w:type="dxa"/>
            <w:vAlign w:val="bottom"/>
          </w:tcPr>
          <w:p>
            <w:pPr>
              <w:ind w:left="660"/>
              <w:spacing w:after="0" w:line="201" w:lineRule="exact"/>
              <w:rPr>
                <w:sz w:val="20"/>
                <w:szCs w:val="20"/>
                <w:color w:val="auto"/>
              </w:rPr>
            </w:pPr>
            <w:r>
              <w:rPr>
                <w:rFonts w:ascii="Arial" w:cs="Arial" w:eastAsia="Arial" w:hAnsi="Arial"/>
                <w:sz w:val="18"/>
                <w:szCs w:val="18"/>
                <w:color w:val="auto"/>
              </w:rPr>
              <w:t>pricing adjustments, metal margin compression, and higher expenses (bad debt,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4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medical, etc.)</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Year ended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2023 Earnings (Loss) Per Diluted Shares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2024 Earnings (Loss) Per Diluted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right="160" w:firstLine="402"/>
        <w:spacing w:after="0" w:line="282" w:lineRule="auto"/>
        <w:rPr>
          <w:sz w:val="20"/>
          <w:szCs w:val="20"/>
          <w:color w:val="auto"/>
        </w:rPr>
      </w:pPr>
      <w:r>
        <w:rPr>
          <w:rFonts w:ascii="Arial" w:cs="Arial" w:eastAsia="Arial" w:hAnsi="Arial"/>
          <w:sz w:val="18"/>
          <w:szCs w:val="18"/>
          <w:color w:val="auto"/>
        </w:rPr>
        <w:t>Full-year trade sales decreased 7%, to $4.38 billion. Organic sales decreased 7%, with volume declines of 4% and raw material-related price decreases of 3%.</w:t>
      </w:r>
    </w:p>
    <w:p>
      <w:pPr>
        <w:spacing w:after="0" w:line="36" w:lineRule="exact"/>
        <w:rPr>
          <w:sz w:val="20"/>
          <w:szCs w:val="20"/>
          <w:color w:val="auto"/>
        </w:rPr>
      </w:pPr>
    </w:p>
    <w:p>
      <w:pPr>
        <w:ind w:right="700" w:firstLine="402"/>
        <w:spacing w:after="0" w:line="282" w:lineRule="auto"/>
        <w:rPr>
          <w:sz w:val="20"/>
          <w:szCs w:val="20"/>
          <w:color w:val="auto"/>
        </w:rPr>
      </w:pPr>
      <w:r>
        <w:rPr>
          <w:rFonts w:ascii="Arial" w:cs="Arial" w:eastAsia="Arial" w:hAnsi="Arial"/>
          <w:sz w:val="18"/>
          <w:szCs w:val="18"/>
          <w:color w:val="auto"/>
        </w:rPr>
        <w:t>Earnings decreased as a result of the items listed in the above table. The special tax item is associated with a deferred tax asset valuation allowance related to a 2022 acquisition in our Specialized Products segment.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21"/>
          <w:szCs w:val="21"/>
          <w:b w:val="1"/>
          <w:bCs w:val="1"/>
          <w:u w:val="single" w:color="auto"/>
          <w:color w:val="auto"/>
        </w:rPr>
        <w:t>Interest and Income Taxes</w:t>
      </w:r>
    </w:p>
    <w:p>
      <w:pPr>
        <w:spacing w:after="0" w:line="103" w:lineRule="exact"/>
        <w:rPr>
          <w:sz w:val="20"/>
          <w:szCs w:val="20"/>
          <w:color w:val="auto"/>
        </w:rPr>
      </w:pPr>
    </w:p>
    <w:p>
      <w:pPr>
        <w:ind w:right="40" w:firstLine="442"/>
        <w:spacing w:after="0" w:line="265" w:lineRule="auto"/>
        <w:rPr>
          <w:sz w:val="20"/>
          <w:szCs w:val="20"/>
          <w:color w:val="auto"/>
        </w:rPr>
      </w:pPr>
      <w:r>
        <w:rPr>
          <w:rFonts w:ascii="Arial" w:cs="Arial" w:eastAsia="Arial" w:hAnsi="Arial"/>
          <w:sz w:val="18"/>
          <w:szCs w:val="18"/>
          <w:color w:val="auto"/>
        </w:rPr>
        <w:t>Net interest expense in 2024 was lower by $4 million compared to 2023. Interest rates on borrowings were higher, reflecting the effect of the retirement of our $300 million Senior Notes in the fourth quarter of 2024 paid with commercial paper, but were more than offset by lower outstanding balances due to our deleveraging efforts.</w:t>
      </w:r>
    </w:p>
    <w:p>
      <w:pPr>
        <w:spacing w:after="0" w:line="38" w:lineRule="exact"/>
        <w:rPr>
          <w:sz w:val="20"/>
          <w:szCs w:val="20"/>
          <w:color w:val="auto"/>
        </w:rPr>
      </w:pPr>
    </w:p>
    <w:p>
      <w:pPr>
        <w:ind w:right="80" w:firstLine="442"/>
        <w:spacing w:after="0" w:line="265" w:lineRule="auto"/>
        <w:rPr>
          <w:sz w:val="20"/>
          <w:szCs w:val="20"/>
          <w:color w:val="auto"/>
        </w:rPr>
      </w:pPr>
      <w:r>
        <w:rPr>
          <w:rFonts w:ascii="Arial" w:cs="Arial" w:eastAsia="Arial" w:hAnsi="Arial"/>
          <w:sz w:val="18"/>
          <w:szCs w:val="18"/>
          <w:color w:val="auto"/>
        </w:rPr>
        <w:t xml:space="preserve">Our worldwide effective income tax rate was approximately 0% in 2024 and 21% in 2023. The following table reflects how our effective income tax rate differs from the statutory federal income tax rate. See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on page 114 of the Notes to Consolidated Financial Statements for additional details.</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Year Ended December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gridSpan w:val="2"/>
          </w:tcPr>
          <w:p>
            <w:pPr>
              <w:spacing w:after="0"/>
              <w:rPr>
                <w:sz w:val="17"/>
                <w:szCs w:val="17"/>
                <w:color w:val="auto"/>
              </w:rPr>
            </w:pPr>
          </w:p>
        </w:tc>
        <w:tc>
          <w:tcPr>
            <w:tcW w:w="14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Increases (decreases) in rate resulting from:</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8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Tax effect of foreign operations</w:t>
            </w:r>
          </w:p>
        </w:tc>
        <w:tc>
          <w:tcPr>
            <w:tcW w:w="840" w:type="dxa"/>
            <w:vAlign w:val="bottom"/>
          </w:tcPr>
          <w:p>
            <w:pPr>
              <w:jc w:val="right"/>
              <w:ind w:right="2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Global intangible low-taxed income</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Current and deferred foreign withholding taxes</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 and long-lived asset impairments</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Change in uncertain tax positions, net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permanent differences, net</w:t>
            </w:r>
          </w:p>
        </w:tc>
        <w:tc>
          <w:tcPr>
            <w:tcW w:w="8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0"/>
                <w:szCs w:val="20"/>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ind w:left="4600"/>
              <w:spacing w:after="0"/>
              <w:rPr>
                <w:sz w:val="20"/>
                <w:szCs w:val="20"/>
                <w:color w:val="auto"/>
              </w:rPr>
            </w:pPr>
            <w:r>
              <w:rPr>
                <w:rFonts w:ascii="Arial" w:cs="Arial" w:eastAsia="Arial" w:hAnsi="Arial"/>
                <w:sz w:val="18"/>
                <w:szCs w:val="18"/>
                <w:color w:val="auto"/>
              </w:rPr>
              <w:t>49</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92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2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30"/>
          <w:szCs w:val="30"/>
          <w:b w:val="1"/>
          <w:bCs w:val="1"/>
          <w:color w:val="auto"/>
        </w:rPr>
        <w:t>Segment Results</w:t>
      </w:r>
    </w:p>
    <w:p>
      <w:pPr>
        <w:spacing w:after="0" w:line="115" w:lineRule="exact"/>
        <w:rPr>
          <w:sz w:val="20"/>
          <w:szCs w:val="20"/>
          <w:color w:val="auto"/>
        </w:rPr>
      </w:pPr>
    </w:p>
    <w:p>
      <w:pPr>
        <w:ind w:right="40" w:firstLine="442"/>
        <w:spacing w:after="0" w:line="265" w:lineRule="auto"/>
        <w:rPr>
          <w:sz w:val="20"/>
          <w:szCs w:val="20"/>
          <w:color w:val="auto"/>
        </w:rPr>
      </w:pPr>
      <w:r>
        <w:rPr>
          <w:rFonts w:ascii="Arial" w:cs="Arial" w:eastAsia="Arial" w:hAnsi="Arial"/>
          <w:sz w:val="18"/>
          <w:szCs w:val="18"/>
          <w:color w:val="auto"/>
        </w:rPr>
        <w:t xml:space="preserve">In the following section we discuss 2024 sales and EBIT for each of our segments. We provide additional detail about segment results in </w:t>
      </w:r>
      <w:r>
        <w:rPr>
          <w:rFonts w:ascii="Arial" w:cs="Arial" w:eastAsia="Arial" w:hAnsi="Arial"/>
          <w:sz w:val="18"/>
          <w:szCs w:val="18"/>
          <w:u w:val="single" w:color="auto"/>
          <w:color w:val="0000FF"/>
        </w:rPr>
        <w:t>Note C</w:t>
      </w:r>
      <w:r>
        <w:rPr>
          <w:rFonts w:ascii="Arial" w:cs="Arial" w:eastAsia="Arial" w:hAnsi="Arial"/>
          <w:sz w:val="18"/>
          <w:szCs w:val="18"/>
          <w:color w:val="0000FF"/>
        </w:rPr>
        <w:t xml:space="preserve"> </w:t>
      </w:r>
      <w:r>
        <w:rPr>
          <w:rFonts w:ascii="Arial" w:cs="Arial" w:eastAsia="Arial" w:hAnsi="Arial"/>
          <w:sz w:val="18"/>
          <w:szCs w:val="18"/>
          <w:color w:val="000000"/>
        </w:rPr>
        <w:t>on page 88 of the Notes to Consolidated Financial Statements. We use EBIT to assess operational performance, and it is useful to</w:t>
      </w:r>
      <w:r>
        <w:rPr>
          <w:rFonts w:ascii="Arial" w:cs="Arial" w:eastAsia="Arial" w:hAnsi="Arial"/>
          <w:sz w:val="18"/>
          <w:szCs w:val="18"/>
          <w:color w:val="0000FF"/>
        </w:rPr>
        <w:t xml:space="preserve"> </w:t>
      </w:r>
      <w:r>
        <w:rPr>
          <w:rFonts w:ascii="Arial" w:cs="Arial" w:eastAsia="Arial" w:hAnsi="Arial"/>
          <w:sz w:val="18"/>
          <w:szCs w:val="18"/>
          <w:color w:val="000000"/>
        </w:rPr>
        <w:t>investors as it aids in understanding of underlying operational profitability.</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rPr>
              <w:t>Change in Sales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Organic</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spacing w:after="0" w:line="248" w:lineRule="exact"/>
              <w:rPr>
                <w:sz w:val="20"/>
                <w:szCs w:val="20"/>
                <w:color w:val="auto"/>
              </w:rPr>
            </w:pPr>
            <w:r>
              <w:rPr>
                <w:rFonts w:ascii="Arial" w:cs="Arial" w:eastAsia="Arial" w:hAnsi="Arial"/>
                <w:sz w:val="16"/>
                <w:szCs w:val="16"/>
                <w:b w:val="1"/>
                <w:bCs w:val="1"/>
                <w:color w:val="auto"/>
                <w:w w:val="94"/>
              </w:rPr>
              <w:t xml:space="preserve">Sales </w:t>
            </w:r>
            <w:r>
              <w:rPr>
                <w:rFonts w:ascii="Arial" w:cs="Arial" w:eastAsia="Arial" w:hAnsi="Arial"/>
                <w:sz w:val="23"/>
                <w:szCs w:val="23"/>
                <w:b w:val="1"/>
                <w:bCs w:val="1"/>
                <w:color w:val="auto"/>
                <w:w w:val="94"/>
                <w:vertAlign w:val="superscript"/>
              </w:rPr>
              <w:t>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Trade sales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180" w:type="dxa"/>
            <w:vAlign w:val="bottom"/>
          </w:tcPr>
          <w:p>
            <w:pPr>
              <w:jc w:val="center"/>
              <w:ind w:left="3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32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60" w:type="dxa"/>
            <w:vAlign w:val="bottom"/>
          </w:tcPr>
          <w:p>
            <w:pPr>
              <w:ind w:left="340"/>
              <w:spacing w:after="0"/>
              <w:rPr>
                <w:sz w:val="20"/>
                <w:szCs w:val="20"/>
                <w:color w:val="auto"/>
              </w:rPr>
            </w:pPr>
            <w:r>
              <w:rPr>
                <w:rFonts w:ascii="Arial" w:cs="Arial" w:eastAsia="Arial" w:hAnsi="Arial"/>
                <w:sz w:val="16"/>
                <w:szCs w:val="16"/>
                <w:color w:val="auto"/>
              </w:rPr>
              <w:t>Total trade sales</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4"/>
          </w:tcPr>
          <w:p>
            <w:pPr>
              <w:ind w:left="260"/>
              <w:spacing w:after="0"/>
              <w:rPr>
                <w:sz w:val="20"/>
                <w:szCs w:val="20"/>
                <w:color w:val="auto"/>
              </w:rPr>
            </w:pPr>
            <w:r>
              <w:rPr>
                <w:rFonts w:ascii="Arial" w:cs="Arial" w:eastAsia="Arial" w:hAnsi="Arial"/>
                <w:sz w:val="16"/>
                <w:szCs w:val="16"/>
                <w:b w:val="1"/>
                <w:bCs w:val="1"/>
                <w:color w:val="auto"/>
              </w:rPr>
              <w:t>Change in EBIT</w:t>
            </w:r>
          </w:p>
        </w:tc>
        <w:tc>
          <w:tcPr>
            <w:tcW w:w="24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EBIT Margins</w:t>
            </w:r>
          </w:p>
        </w:tc>
        <w:tc>
          <w:tcPr>
            <w:tcW w:w="0" w:type="dxa"/>
            <w:vAlign w:val="bottom"/>
          </w:tcPr>
          <w:p>
            <w:pPr>
              <w:spacing w:after="0"/>
              <w:rPr>
                <w:sz w:val="1"/>
                <w:szCs w:val="1"/>
                <w:color w:val="auto"/>
              </w:rPr>
            </w:pPr>
          </w:p>
        </w:tc>
      </w:tr>
      <w:tr>
        <w:trPr>
          <w:trHeight w:val="235"/>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Pr>
          <w:p>
            <w:pPr>
              <w:spacing w:after="0"/>
              <w:rPr>
                <w:sz w:val="20"/>
                <w:szCs w:val="20"/>
                <w:color w:val="auto"/>
              </w:rPr>
            </w:pPr>
          </w:p>
        </w:tc>
        <w:tc>
          <w:tcPr>
            <w:tcW w:w="800" w:type="dxa"/>
            <w:vAlign w:val="bottom"/>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4"/>
        </w:trPr>
        <w:tc>
          <w:tcPr>
            <w:tcW w:w="336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1180" w:type="dxa"/>
            <w:vAlign w:val="bottom"/>
          </w:tcPr>
          <w:p>
            <w:pPr>
              <w:jc w:val="center"/>
              <w:ind w:left="320"/>
              <w:spacing w:after="0"/>
              <w:rPr>
                <w:sz w:val="20"/>
                <w:szCs w:val="20"/>
                <w:color w:val="auto"/>
              </w:rPr>
            </w:pPr>
            <w:r>
              <w:rPr>
                <w:rFonts w:ascii="Arial" w:cs="Arial" w:eastAsia="Arial" w:hAnsi="Arial"/>
                <w:sz w:val="16"/>
                <w:szCs w:val="16"/>
                <w:color w:val="auto"/>
                <w:w w:val="98"/>
              </w:rPr>
              <w:t>5.2</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w w:val="98"/>
              </w:rPr>
              <w:t>4.2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eliminations &amp; 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60" w:type="dxa"/>
            <w:vAlign w:val="bottom"/>
            <w:tcBorders>
              <w:bottom w:val="single" w:sz="8" w:color="CCEEFF"/>
            </w:tcBorders>
            <w:shd w:val="clear" w:color="auto" w:fill="CCEEFF"/>
          </w:tcPr>
          <w:p>
            <w:pPr>
              <w:ind w:left="340"/>
              <w:spacing w:after="0" w:line="209" w:lineRule="exact"/>
              <w:rPr>
                <w:sz w:val="20"/>
                <w:szCs w:val="20"/>
                <w:color w:val="auto"/>
              </w:rPr>
            </w:pPr>
            <w:r>
              <w:rPr>
                <w:rFonts w:ascii="Arial" w:cs="Arial" w:eastAsia="Arial" w:hAnsi="Arial"/>
                <w:sz w:val="16"/>
                <w:szCs w:val="16"/>
                <w:color w:val="auto"/>
              </w:rPr>
              <w:t xml:space="preserve">Total EBIT </w:t>
            </w:r>
            <w:r>
              <w:rPr>
                <w:rFonts w:ascii="Arial" w:cs="Arial" w:eastAsia="Arial" w:hAnsi="Arial"/>
                <w:sz w:val="23"/>
                <w:szCs w:val="23"/>
                <w:b w:val="1"/>
                <w:bCs w:val="1"/>
                <w:color w:val="auto"/>
                <w:vertAlign w:val="superscript"/>
              </w:rPr>
              <w:t>2</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3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Bedding Products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Specialized Products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Arial" w:cs="Arial" w:eastAsia="Arial" w:hAnsi="Arial"/>
                <w:sz w:val="16"/>
                <w:szCs w:val="16"/>
                <w:color w:val="auto"/>
              </w:rPr>
              <w:t>Furniture, Flooring &amp; Textile Products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color w:val="auto"/>
              </w:rPr>
              <w:t xml:space="preserve">Unallocated </w:t>
            </w:r>
            <w:r>
              <w:rPr>
                <w:rFonts w:ascii="Arial" w:cs="Arial" w:eastAsia="Arial" w:hAnsi="Arial"/>
                <w:sz w:val="23"/>
                <w:szCs w:val="23"/>
                <w:b w:val="1"/>
                <w:bCs w:val="1"/>
                <w:color w:val="auto"/>
                <w:vertAlign w:val="superscript"/>
              </w:rPr>
              <w:t>3</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60" w:type="dxa"/>
            <w:vAlign w:val="bottom"/>
          </w:tcPr>
          <w:p>
            <w:pPr>
              <w:ind w:left="340"/>
              <w:spacing w:after="0"/>
              <w:rPr>
                <w:sz w:val="20"/>
                <w:szCs w:val="20"/>
                <w:color w:val="auto"/>
              </w:rPr>
            </w:pPr>
            <w:r>
              <w:rPr>
                <w:rFonts w:ascii="Arial" w:cs="Arial" w:eastAsia="Arial" w:hAnsi="Arial"/>
                <w:sz w:val="16"/>
                <w:szCs w:val="16"/>
                <w:color w:val="auto"/>
              </w:rPr>
              <w:t>Total depreciation and amortization</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20" w:hanging="111"/>
        <w:spacing w:after="0"/>
        <w:tabs>
          <w:tab w:leader="none" w:pos="520" w:val="left"/>
        </w:tabs>
        <w:numPr>
          <w:ilvl w:val="0"/>
          <w:numId w:val="34"/>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is the change in sales not attributable to acquisitions or divestitures in the last 12 months.</w:t>
      </w:r>
    </w:p>
    <w:p>
      <w:pPr>
        <w:spacing w:after="0" w:line="73" w:lineRule="exact"/>
        <w:rPr>
          <w:sz w:val="20"/>
          <w:szCs w:val="20"/>
          <w:color w:val="auto"/>
        </w:rPr>
      </w:pPr>
    </w:p>
    <w:p>
      <w:pPr>
        <w:ind w:left="580" w:right="240" w:hanging="171"/>
        <w:spacing w:after="0" w:line="216" w:lineRule="auto"/>
        <w:tabs>
          <w:tab w:leader="none" w:pos="535" w:val="left"/>
        </w:tabs>
        <w:numPr>
          <w:ilvl w:val="0"/>
          <w:numId w:val="35"/>
        </w:numPr>
        <w:rPr>
          <w:rFonts w:ascii="Arial" w:cs="Arial" w:eastAsia="Arial" w:hAnsi="Arial"/>
          <w:sz w:val="28"/>
          <w:szCs w:val="28"/>
          <w:b w:val="1"/>
          <w:bCs w:val="1"/>
          <w:color w:val="auto"/>
          <w:vertAlign w:val="superscript"/>
        </w:rPr>
      </w:pPr>
      <w:r>
        <w:rPr>
          <w:rFonts w:ascii="Arial" w:cs="Arial" w:eastAsia="Arial" w:hAnsi="Arial"/>
          <w:sz w:val="18"/>
          <w:szCs w:val="18"/>
          <w:color w:val="auto"/>
        </w:rPr>
        <w:t>Total 2024 EBIT of $(429.9) million less interest expense net of interest income of $79.3 million and income tax of $2.2 million equals 2024 Net earnings (loss) of $(511.4) million. Total 2023 EBIT of $(90.4) million less interest expense net of interest income of $83.0 million and income tax of $(36.6) million equals 2023 Net earnings (loss) of $(136.8) million.</w:t>
      </w:r>
    </w:p>
    <w:p>
      <w:pPr>
        <w:spacing w:after="0" w:line="136" w:lineRule="exact"/>
        <w:rPr>
          <w:sz w:val="20"/>
          <w:szCs w:val="20"/>
          <w:color w:val="auto"/>
        </w:rPr>
      </w:pPr>
    </w:p>
    <w:p>
      <w:pPr>
        <w:ind w:left="540" w:hanging="131"/>
        <w:spacing w:after="0"/>
        <w:tabs>
          <w:tab w:leader="none" w:pos="540" w:val="left"/>
        </w:tabs>
        <w:numPr>
          <w:ilvl w:val="0"/>
          <w:numId w:val="36"/>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consists primarily of depreciation and amortization of non-operating assets.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Bedding Products</w:t>
      </w:r>
    </w:p>
    <w:p>
      <w:pPr>
        <w:spacing w:after="0" w:line="101"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Trade sales decreased 11%. Organic sales were down 11%, from volume declines of 6%, primarily due to demand softness in U.S. and European bedding markets and the expected exit of a customer in Specialty Foam, partially offset by higher trade rod sales. Raw material-related selling price decreases reduced sales 5%.</w:t>
      </w:r>
    </w:p>
    <w:p>
      <w:pPr>
        <w:spacing w:after="0" w:line="38" w:lineRule="exact"/>
        <w:rPr>
          <w:sz w:val="20"/>
          <w:szCs w:val="20"/>
          <w:color w:val="auto"/>
        </w:rPr>
      </w:pPr>
    </w:p>
    <w:p>
      <w:pPr>
        <w:jc w:val="both"/>
        <w:ind w:right="280" w:firstLine="402"/>
        <w:spacing w:after="0" w:line="265" w:lineRule="auto"/>
        <w:rPr>
          <w:sz w:val="20"/>
          <w:szCs w:val="20"/>
          <w:color w:val="auto"/>
        </w:rPr>
      </w:pPr>
      <w:r>
        <w:rPr>
          <w:rFonts w:ascii="Arial" w:cs="Arial" w:eastAsia="Arial" w:hAnsi="Arial"/>
          <w:sz w:val="18"/>
          <w:szCs w:val="18"/>
          <w:color w:val="auto"/>
        </w:rPr>
        <w:t>EBIT decreased $205 million, primarily due to the year-over-year changes from the items listed below, as well as raw material-related pricing adjustments, unfavorable sales mix in Steel Rod and Specialty Foam, metal margin compression, lower volume, and other expense items such as higher bad det reserves and increased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inventory write-downs/reserves, partially offset by lower amortization expense due to the 2023 long-lived asset impairment, restructuring benefit, and operational efficiency improvements in Specialty Foam.</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r>
      <w:tr>
        <w:trPr>
          <w:trHeight w:val="22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Net gain from insurance proceeds</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Restructuring, restructuring-related, and impairment charges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1"/>
        </w:trPr>
        <w:tc>
          <w:tcPr>
            <w:tcW w:w="610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Specialized Products</w:t>
      </w:r>
    </w:p>
    <w:p>
      <w:pPr>
        <w:spacing w:after="0" w:line="101" w:lineRule="exact"/>
        <w:rPr>
          <w:sz w:val="20"/>
          <w:szCs w:val="20"/>
          <w:color w:val="auto"/>
        </w:rPr>
      </w:pPr>
    </w:p>
    <w:p>
      <w:pPr>
        <w:jc w:val="both"/>
        <w:ind w:right="460" w:firstLine="442"/>
        <w:spacing w:after="0" w:line="265" w:lineRule="auto"/>
        <w:rPr>
          <w:sz w:val="20"/>
          <w:szCs w:val="20"/>
          <w:color w:val="auto"/>
        </w:rPr>
      </w:pPr>
      <w:r>
        <w:rPr>
          <w:rFonts w:ascii="Arial" w:cs="Arial" w:eastAsia="Arial" w:hAnsi="Arial"/>
          <w:sz w:val="18"/>
          <w:szCs w:val="18"/>
          <w:color w:val="auto"/>
        </w:rPr>
        <w:t>Trade sales decreased 3%. Organic sales decreased 3%. Volume decreased 3% with soft demand in the second half of the year in Automotive and Hydraulic Cylinders partially offset by strong demand in Aerospace. Raw material-related price increases were offset by currency impact.</w:t>
      </w:r>
    </w:p>
    <w:p>
      <w:pPr>
        <w:spacing w:after="0" w:line="38" w:lineRule="exact"/>
        <w:rPr>
          <w:sz w:val="20"/>
          <w:szCs w:val="20"/>
          <w:color w:val="auto"/>
        </w:rPr>
      </w:pPr>
    </w:p>
    <w:p>
      <w:pPr>
        <w:ind w:right="200" w:firstLine="442"/>
        <w:spacing w:after="0" w:line="265" w:lineRule="auto"/>
        <w:rPr>
          <w:sz w:val="20"/>
          <w:szCs w:val="20"/>
          <w:color w:val="auto"/>
        </w:rPr>
      </w:pPr>
      <w:r>
        <w:rPr>
          <w:rFonts w:ascii="Arial" w:cs="Arial" w:eastAsia="Arial" w:hAnsi="Arial"/>
          <w:sz w:val="18"/>
          <w:szCs w:val="18"/>
          <w:color w:val="auto"/>
        </w:rPr>
        <w:t>EBIT decreased $61 million, primarily due to the year-over-year changes from the items listed below, as well as lower volume and less benefit from a reduction to a contingent purchase price liability associated with a prior year acquisition, partially offset by disciplined cost management and operational efficiency improvements.</w:t>
      </w:r>
    </w:p>
    <w:p>
      <w:pPr>
        <w:spacing w:after="0" w:line="92"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r>
      <w:tr>
        <w:trPr>
          <w:trHeight w:val="22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restructuring-related, and impairment charges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46"/>
        </w:trPr>
        <w:tc>
          <w:tcPr>
            <w:tcW w:w="6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21"/>
          <w:szCs w:val="21"/>
          <w:u w:val="single" w:color="auto"/>
          <w:color w:val="auto"/>
        </w:rPr>
        <w:t>Furniture, Flooring &amp; Textile Products</w:t>
      </w:r>
    </w:p>
    <w:p>
      <w:pPr>
        <w:spacing w:after="0" w:line="101" w:lineRule="exact"/>
        <w:rPr>
          <w:sz w:val="20"/>
          <w:szCs w:val="20"/>
          <w:color w:val="auto"/>
        </w:rPr>
      </w:pPr>
    </w:p>
    <w:p>
      <w:pPr>
        <w:ind w:right="100" w:firstLine="402"/>
        <w:spacing w:after="0" w:line="312" w:lineRule="auto"/>
        <w:rPr>
          <w:sz w:val="20"/>
          <w:szCs w:val="20"/>
          <w:color w:val="auto"/>
        </w:rPr>
      </w:pPr>
      <w:r>
        <w:rPr>
          <w:rFonts w:ascii="Arial" w:cs="Arial" w:eastAsia="Arial" w:hAnsi="Arial"/>
          <w:sz w:val="17"/>
          <w:szCs w:val="17"/>
          <w:color w:val="auto"/>
        </w:rPr>
        <w:t>Trade sales decreased 6%. Organic sales were down 6%. Volume decreased 3% with continued weak demand in residential end markets and demand softness in Geo Components through the third quarter. Raw material-related selling price decreases reduced sales 3%.</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EBIT decreased $70 million, primarily due to the year-over-year changes from the items listed below and lower volume.</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23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(Income)/expense (Dollar amounts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r>
      <w:tr>
        <w:trPr>
          <w:trHeight w:val="22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from insurance proceeds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6100" w:type="dxa"/>
            <w:vAlign w:val="bottom"/>
          </w:tcPr>
          <w:p>
            <w:pPr>
              <w:ind w:left="2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restructuring-related, and impairment charges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LIQUIDITY AND CAPITALIZATION</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Liquidity</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Sources of Cash</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Cash on Hand</w:t>
      </w:r>
    </w:p>
    <w:p>
      <w:pPr>
        <w:spacing w:after="0" w:line="107"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At December 31, 2025, we had cash and cash equivalents of $587 million primarily invested in interest-bearing bank accounts and in bank time deposits with original maturities of three months or less. A substantial majority of these funds are held in the international accounts of our foreign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If we were to bring back immediately all our foreign cash to the United States in the form of dividends, we would pay foreign withholding taxes of approximately $ 29 million. Due to capital requirements in various jurisdictions, $101 million of this cash was inaccessible for repatriation at year end. Inaccessible cash balances can fluctuate from quarter to quarter based on the amount of foreign distributable profits available and the variability of our foreign cash balances.</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Cash from Operations</w:t>
      </w:r>
    </w:p>
    <w:p>
      <w:pPr>
        <w:spacing w:after="0" w:line="107" w:lineRule="exact"/>
        <w:rPr>
          <w:sz w:val="20"/>
          <w:szCs w:val="20"/>
          <w:color w:val="auto"/>
        </w:rPr>
      </w:pPr>
    </w:p>
    <w:p>
      <w:pPr>
        <w:ind w:right="80" w:firstLine="402"/>
        <w:spacing w:after="0" w:line="282" w:lineRule="auto"/>
        <w:rPr>
          <w:sz w:val="20"/>
          <w:szCs w:val="20"/>
          <w:color w:val="auto"/>
        </w:rPr>
      </w:pPr>
      <w:r>
        <w:rPr>
          <w:rFonts w:ascii="Arial" w:cs="Arial" w:eastAsia="Arial" w:hAnsi="Arial"/>
          <w:sz w:val="18"/>
          <w:szCs w:val="18"/>
          <w:color w:val="auto"/>
        </w:rPr>
        <w:t>The primary source of funds for our short-term cash requirements is our cash generated from operating activities. Earnings and changes in working capital levels are the two factors that generally have the greatest impact on our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111760</wp:posOffset>
            </wp:positionV>
            <wp:extent cx="2834640" cy="1924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3464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0"/>
        <w:spacing w:after="0"/>
        <w:rPr>
          <w:sz w:val="20"/>
          <w:szCs w:val="20"/>
          <w:color w:val="auto"/>
        </w:rPr>
      </w:pPr>
      <w:r>
        <w:rPr>
          <w:rFonts w:ascii="Arial" w:cs="Arial" w:eastAsia="Arial" w:hAnsi="Arial"/>
          <w:sz w:val="18"/>
          <w:szCs w:val="18"/>
          <w:color w:val="FFFFFF"/>
        </w:rPr>
        <w:t>Cash from operations - 2023 $497 million, 2024 $306 million, 2025 $338 million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from operations increased $32.5 million in 2025, driven primarily by working capital improvements.</w:t>
      </w:r>
    </w:p>
    <w:p>
      <w:pPr>
        <w:spacing w:after="0" w:line="60" w:lineRule="exact"/>
        <w:rPr>
          <w:sz w:val="20"/>
          <w:szCs w:val="20"/>
          <w:color w:val="auto"/>
        </w:rPr>
      </w:pPr>
    </w:p>
    <w:p>
      <w:pPr>
        <w:ind w:right="120" w:firstLine="402"/>
        <w:spacing w:after="0" w:line="250" w:lineRule="auto"/>
        <w:rPr>
          <w:sz w:val="20"/>
          <w:szCs w:val="20"/>
          <w:color w:val="auto"/>
        </w:rPr>
      </w:pPr>
      <w:r>
        <w:rPr>
          <w:rFonts w:ascii="Arial" w:cs="Arial" w:eastAsia="Arial" w:hAnsi="Arial"/>
          <w:sz w:val="17"/>
          <w:szCs w:val="17"/>
          <w:color w:val="auto"/>
        </w:rPr>
        <w:t>We ended 2025 with working capital at 25.8% and adjusted working capital at 11.6% of annualized sales.</w:t>
      </w:r>
      <w:r>
        <w:rPr>
          <w:rFonts w:ascii="Arial" w:cs="Arial" w:eastAsia="Arial" w:hAnsi="Arial"/>
          <w:sz w:val="26"/>
          <w:szCs w:val="26"/>
          <w:b w:val="1"/>
          <w:bCs w:val="1"/>
          <w:color w:val="auto"/>
          <w:vertAlign w:val="superscript"/>
        </w:rPr>
        <w:t>1</w:t>
      </w:r>
      <w:r>
        <w:rPr>
          <w:rFonts w:ascii="Arial" w:cs="Arial" w:eastAsia="Arial" w:hAnsi="Arial"/>
          <w:sz w:val="17"/>
          <w:szCs w:val="17"/>
          <w:color w:val="auto"/>
        </w:rPr>
        <w:t xml:space="preserve"> The table below explains this non-GAAP calculation. We eliminate cash, current debt maturities, and the current portion of operating lease liabilities from working capital to monitor our operating efficiency and performance related to trade receivables, inventories, and accounts payable. We believe this provides a more useful measurement to investors since cash and current maturities can fluctuate significantly from period to period. As discussed in </w:t>
      </w:r>
      <w:r>
        <w:rPr>
          <w:rFonts w:ascii="Arial" w:cs="Arial" w:eastAsia="Arial" w:hAnsi="Arial"/>
          <w:sz w:val="17"/>
          <w:szCs w:val="17"/>
          <w:u w:val="single" w:color="auto"/>
          <w:color w:val="0000FF"/>
        </w:rPr>
        <w:t>Cash on Hand</w:t>
      </w:r>
      <w:r>
        <w:rPr>
          <w:rFonts w:ascii="Arial" w:cs="Arial" w:eastAsia="Arial" w:hAnsi="Arial"/>
          <w:sz w:val="17"/>
          <w:szCs w:val="17"/>
          <w:color w:val="0000FF"/>
        </w:rPr>
        <w:t xml:space="preserve"> </w:t>
      </w:r>
      <w:r>
        <w:rPr>
          <w:rFonts w:ascii="Arial" w:cs="Arial" w:eastAsia="Arial" w:hAnsi="Arial"/>
          <w:sz w:val="17"/>
          <w:szCs w:val="17"/>
          <w:color w:val="000000"/>
        </w:rPr>
        <w:t>on page 51, a substantial majority of these funds are held by international operations and may not be immediately accessible.</w:t>
      </w:r>
    </w:p>
    <w:p>
      <w:pPr>
        <w:spacing w:after="0" w:line="14" w:lineRule="exact"/>
        <w:rPr>
          <w:sz w:val="20"/>
          <w:szCs w:val="20"/>
          <w:color w:val="auto"/>
        </w:rPr>
      </w:pPr>
    </w:p>
    <w:tbl>
      <w:tblPr>
        <w:tblLayout w:type="fixed"/>
        <w:tblInd w:w="740" w:type="dxa"/>
        <w:tblCellMar>
          <w:top w:w="0" w:type="dxa"/>
          <w:left w:w="0" w:type="dxa"/>
          <w:bottom w:w="0" w:type="dxa"/>
          <w:right w:w="0" w:type="dxa"/>
        </w:tblCellMar>
      </w:tblPr>
      <w:tr>
        <w:trPr>
          <w:trHeight w:val="23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1,690.5</w:t>
            </w:r>
          </w:p>
        </w:tc>
        <w:tc>
          <w:tcPr>
            <w:tcW w:w="0" w:type="dxa"/>
            <w:vAlign w:val="bottom"/>
          </w:tcPr>
          <w:p>
            <w:pPr>
              <w:spacing w:after="0"/>
              <w:rPr>
                <w:sz w:val="1"/>
                <w:szCs w:val="1"/>
                <w:color w:val="auto"/>
              </w:rPr>
            </w:pPr>
          </w:p>
        </w:tc>
      </w:tr>
      <w:tr>
        <w:trPr>
          <w:trHeight w:val="22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28"/>
        </w:trPr>
        <w:tc>
          <w:tcPr>
            <w:tcW w:w="7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8"/>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debt maturities and current portion of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1"/>
        </w:trPr>
        <w:tc>
          <w:tcPr>
            <w:tcW w:w="7080" w:type="dxa"/>
            <w:vAlign w:val="bottom"/>
          </w:tcPr>
          <w:p>
            <w:pPr>
              <w:ind w:left="20"/>
              <w:spacing w:after="0"/>
              <w:rPr>
                <w:sz w:val="20"/>
                <w:szCs w:val="20"/>
                <w:color w:val="auto"/>
              </w:rPr>
            </w:pPr>
            <w:r>
              <w:rPr>
                <w:rFonts w:ascii="Arial" w:cs="Arial" w:eastAsia="Arial" w:hAnsi="Arial"/>
                <w:sz w:val="18"/>
                <w:szCs w:val="18"/>
                <w:color w:val="auto"/>
              </w:rPr>
              <w:t>Adjusted working capital</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080" w:type="dxa"/>
            <w:vAlign w:val="bottom"/>
            <w:tcBorders>
              <w:bottom w:val="single" w:sz="8" w:color="CCEEFF"/>
            </w:tcBorders>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Annualized sales </w:t>
            </w:r>
            <w:r>
              <w:rPr>
                <w:rFonts w:ascii="Arial" w:cs="Arial" w:eastAsia="Arial" w:hAnsi="Arial"/>
                <w:sz w:val="25"/>
                <w:szCs w:val="25"/>
                <w:b w:val="1"/>
                <w:bCs w:val="1"/>
                <w:color w:val="auto"/>
                <w:vertAlign w:val="superscript"/>
              </w:rPr>
              <w:t>1</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3,754.4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4,225.6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Working capital as a percent of annualized sales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8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25.8%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working capital as a percent of annualized sales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820" w:right="540" w:hanging="169"/>
        <w:spacing w:after="0" w:line="216" w:lineRule="auto"/>
        <w:tabs>
          <w:tab w:leader="none" w:pos="775" w:val="left"/>
        </w:tabs>
        <w:numPr>
          <w:ilvl w:val="0"/>
          <w:numId w:val="37"/>
        </w:numPr>
        <w:rPr>
          <w:rFonts w:ascii="Arial" w:cs="Arial" w:eastAsia="Arial" w:hAnsi="Arial"/>
          <w:sz w:val="28"/>
          <w:szCs w:val="28"/>
          <w:b w:val="1"/>
          <w:bCs w:val="1"/>
          <w:color w:val="auto"/>
          <w:vertAlign w:val="superscript"/>
        </w:rPr>
      </w:pPr>
      <w:r>
        <w:rPr>
          <w:rFonts w:ascii="Arial" w:cs="Arial" w:eastAsia="Arial" w:hAnsi="Arial"/>
          <w:sz w:val="18"/>
          <w:szCs w:val="18"/>
          <w:color w:val="auto"/>
        </w:rPr>
        <w:t>Annualized sales equal fourth quarter sales ($938.6 million in 2025 and $1,056.4 million in 2024) multiplied by 4. We believe measuring our working capital against this sales metric is more useful, since efficient management of working capital includes adjusting those net asset levels to reflect current business volume.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Primary Components of our Working Capital</w:t>
      </w:r>
    </w:p>
    <w:p>
      <w:pPr>
        <w:spacing w:after="0" w:line="46"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Amount (in millions)</w:t>
            </w:r>
          </w:p>
        </w:tc>
        <w:tc>
          <w:tcPr>
            <w:tcW w:w="92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Days</w:t>
            </w:r>
          </w:p>
        </w:tc>
        <w:tc>
          <w:tcPr>
            <w:tcW w:w="1000" w:type="dxa"/>
            <w:vAlign w:val="bottom"/>
            <w:tcBorders>
              <w:bottom w:val="single" w:sz="8" w:color="auto"/>
            </w:tcBorders>
          </w:tcPr>
          <w:p>
            <w:pPr>
              <w:spacing w:after="0"/>
              <w:rPr>
                <w:sz w:val="16"/>
                <w:szCs w:val="16"/>
                <w:color w:val="auto"/>
              </w:rPr>
            </w:pPr>
          </w:p>
        </w:tc>
      </w:tr>
      <w:tr>
        <w:trPr>
          <w:trHeight w:val="208"/>
        </w:trPr>
        <w:tc>
          <w:tcPr>
            <w:tcW w:w="2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2023</w:t>
            </w:r>
          </w:p>
        </w:tc>
      </w:tr>
      <w:tr>
        <w:trPr>
          <w:trHeight w:val="221"/>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Receivables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433.7</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503.0</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564.9</w:t>
            </w:r>
          </w:p>
        </w:tc>
        <w:tc>
          <w:tcPr>
            <w:tcW w:w="1100" w:type="dxa"/>
            <w:vAlign w:val="bottom"/>
            <w:shd w:val="clear" w:color="auto" w:fill="CCEEFF"/>
          </w:tcPr>
          <w:p>
            <w:pPr>
              <w:ind w:left="160"/>
              <w:spacing w:after="0" w:line="221" w:lineRule="exact"/>
              <w:rPr>
                <w:sz w:val="20"/>
                <w:szCs w:val="20"/>
                <w:color w:val="auto"/>
              </w:rPr>
            </w:pPr>
            <w:r>
              <w:rPr>
                <w:rFonts w:ascii="Arial" w:cs="Arial" w:eastAsia="Arial" w:hAnsi="Arial"/>
                <w:sz w:val="17"/>
                <w:szCs w:val="17"/>
                <w:b w:val="1"/>
                <w:bCs w:val="1"/>
                <w:color w:val="auto"/>
              </w:rPr>
              <w:t xml:space="preserve">DSO </w:t>
            </w:r>
            <w:r>
              <w:rPr>
                <w:rFonts w:ascii="Arial" w:cs="Arial" w:eastAsia="Arial" w:hAnsi="Arial"/>
                <w:sz w:val="25"/>
                <w:szCs w:val="25"/>
                <w:b w:val="1"/>
                <w:bCs w:val="1"/>
                <w:color w:val="auto"/>
                <w:vertAlign w:val="superscript"/>
              </w:rPr>
              <w:t>1</w:t>
            </w: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42</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161"/>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622.6</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722.6</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819.7</w:t>
            </w:r>
          </w:p>
        </w:tc>
        <w:tc>
          <w:tcPr>
            <w:tcW w:w="1100" w:type="dxa"/>
            <w:vAlign w:val="bottom"/>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 xml:space="preserve">DIO </w:t>
            </w:r>
            <w:r>
              <w:rPr>
                <w:rFonts w:ascii="Arial" w:cs="Arial" w:eastAsia="Arial" w:hAnsi="Arial"/>
                <w:sz w:val="26"/>
                <w:szCs w:val="26"/>
                <w:b w:val="1"/>
                <w:bCs w:val="1"/>
                <w:color w:val="auto"/>
                <w:vertAlign w:val="superscript"/>
              </w:rPr>
              <w:t>2</w:t>
            </w: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74</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161"/>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8"/>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Payable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466.6</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497.7</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536.2</w:t>
            </w:r>
          </w:p>
        </w:tc>
        <w:tc>
          <w:tcPr>
            <w:tcW w:w="1100" w:type="dxa"/>
            <w:vAlign w:val="bottom"/>
            <w:shd w:val="clear" w:color="auto" w:fill="CCEEFF"/>
          </w:tcPr>
          <w:p>
            <w:pPr>
              <w:ind w:left="160"/>
              <w:spacing w:after="0" w:line="227" w:lineRule="exact"/>
              <w:rPr>
                <w:sz w:val="20"/>
                <w:szCs w:val="20"/>
                <w:color w:val="auto"/>
              </w:rPr>
            </w:pPr>
            <w:r>
              <w:rPr>
                <w:rFonts w:ascii="Arial" w:cs="Arial" w:eastAsia="Arial" w:hAnsi="Arial"/>
                <w:sz w:val="17"/>
                <w:szCs w:val="17"/>
                <w:b w:val="1"/>
                <w:bCs w:val="1"/>
                <w:color w:val="auto"/>
              </w:rPr>
              <w:t xml:space="preserve">DPO </w:t>
            </w:r>
            <w:r>
              <w:rPr>
                <w:rFonts w:ascii="Arial" w:cs="Arial" w:eastAsia="Arial" w:hAnsi="Arial"/>
                <w:sz w:val="26"/>
                <w:szCs w:val="26"/>
                <w:b w:val="1"/>
                <w:bCs w:val="1"/>
                <w:color w:val="auto"/>
                <w:vertAlign w:val="superscript"/>
              </w:rPr>
              <w:t>3</w:t>
            </w: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53</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97" w:lineRule="exact"/>
        <w:rPr>
          <w:sz w:val="20"/>
          <w:szCs w:val="20"/>
          <w:color w:val="auto"/>
        </w:rPr>
      </w:pPr>
    </w:p>
    <w:p>
      <w:pPr>
        <w:ind w:left="1460" w:right="440" w:hanging="166"/>
        <w:spacing w:after="0" w:line="188" w:lineRule="auto"/>
        <w:tabs>
          <w:tab w:leader="none" w:pos="1457" w:val="left"/>
        </w:tabs>
        <w:numPr>
          <w:ilvl w:val="0"/>
          <w:numId w:val="38"/>
        </w:numPr>
        <w:rPr>
          <w:rFonts w:ascii="Arial" w:cs="Arial" w:eastAsia="Arial" w:hAnsi="Arial"/>
          <w:sz w:val="28"/>
          <w:szCs w:val="28"/>
          <w:b w:val="1"/>
          <w:bCs w:val="1"/>
          <w:color w:val="auto"/>
          <w:vertAlign w:val="superscript"/>
        </w:rPr>
      </w:pPr>
      <w:r>
        <w:rPr>
          <w:rFonts w:ascii="Arial" w:cs="Arial" w:eastAsia="Arial" w:hAnsi="Arial"/>
          <w:sz w:val="18"/>
          <w:szCs w:val="18"/>
          <w:color w:val="auto"/>
        </w:rPr>
        <w:t>Days sales outstanding: ((beginning of year trade receivables + end of year trade receivables) ÷ 2) ÷ (net trade sales ÷ number of days in the period)</w:t>
      </w:r>
    </w:p>
    <w:p>
      <w:pPr>
        <w:spacing w:after="0" w:line="15" w:lineRule="exact"/>
        <w:rPr>
          <w:sz w:val="20"/>
          <w:szCs w:val="20"/>
          <w:color w:val="auto"/>
        </w:rPr>
      </w:pPr>
    </w:p>
    <w:p>
      <w:pPr>
        <w:ind w:left="1460" w:right="140" w:hanging="166"/>
        <w:spacing w:after="0" w:line="188" w:lineRule="auto"/>
        <w:tabs>
          <w:tab w:leader="none" w:pos="1457" w:val="left"/>
        </w:tabs>
        <w:numPr>
          <w:ilvl w:val="0"/>
          <w:numId w:val="39"/>
        </w:numPr>
        <w:rPr>
          <w:rFonts w:ascii="Arial" w:cs="Arial" w:eastAsia="Arial" w:hAnsi="Arial"/>
          <w:sz w:val="28"/>
          <w:szCs w:val="28"/>
          <w:b w:val="1"/>
          <w:bCs w:val="1"/>
          <w:color w:val="auto"/>
          <w:vertAlign w:val="superscript"/>
        </w:rPr>
      </w:pPr>
      <w:r>
        <w:rPr>
          <w:rFonts w:ascii="Arial" w:cs="Arial" w:eastAsia="Arial" w:hAnsi="Arial"/>
          <w:sz w:val="18"/>
          <w:szCs w:val="18"/>
          <w:color w:val="auto"/>
        </w:rPr>
        <w:t>Days inventory on hand: ((beginning of year inventory + end of year inventory) ÷ 2) ÷ (cost of goods sold ÷ number of days in the period)</w:t>
      </w:r>
    </w:p>
    <w:p>
      <w:pPr>
        <w:spacing w:after="0" w:line="15" w:lineRule="exact"/>
        <w:rPr>
          <w:sz w:val="20"/>
          <w:szCs w:val="20"/>
          <w:color w:val="auto"/>
        </w:rPr>
      </w:pPr>
    </w:p>
    <w:p>
      <w:pPr>
        <w:ind w:left="1460" w:right="340" w:hanging="166"/>
        <w:spacing w:after="0" w:line="204" w:lineRule="auto"/>
        <w:tabs>
          <w:tab w:leader="none" w:pos="1457" w:val="left"/>
        </w:tabs>
        <w:numPr>
          <w:ilvl w:val="0"/>
          <w:numId w:val="40"/>
        </w:numPr>
        <w:rPr>
          <w:rFonts w:ascii="Arial" w:cs="Arial" w:eastAsia="Arial" w:hAnsi="Arial"/>
          <w:sz w:val="28"/>
          <w:szCs w:val="28"/>
          <w:b w:val="1"/>
          <w:bCs w:val="1"/>
          <w:color w:val="auto"/>
          <w:vertAlign w:val="superscript"/>
        </w:rPr>
      </w:pPr>
      <w:r>
        <w:rPr>
          <w:rFonts w:ascii="Arial" w:cs="Arial" w:eastAsia="Arial" w:hAnsi="Arial"/>
          <w:sz w:val="18"/>
          <w:szCs w:val="18"/>
          <w:color w:val="auto"/>
        </w:rPr>
        <w:t>Days payables outstanding: ((beginning of year accounts payable + end of year accounts payable) ÷ 2) ÷ (cost of goods sold ÷ number of days in the period)</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continue to monitor all elements of working capital in order to optimize cash flow.</w:t>
      </w:r>
    </w:p>
    <w:p>
      <w:pPr>
        <w:spacing w:after="0" w:line="168" w:lineRule="exact"/>
        <w:rPr>
          <w:sz w:val="20"/>
          <w:szCs w:val="20"/>
          <w:color w:val="auto"/>
        </w:rPr>
      </w:pPr>
    </w:p>
    <w:p>
      <w:pPr>
        <w:ind w:left="440" w:right="20" w:firstLine="402"/>
        <w:spacing w:after="0" w:line="259" w:lineRule="auto"/>
        <w:rPr>
          <w:sz w:val="20"/>
          <w:szCs w:val="20"/>
          <w:color w:val="auto"/>
        </w:rPr>
      </w:pPr>
      <w:r>
        <w:rPr>
          <w:rFonts w:ascii="Arial" w:cs="Arial" w:eastAsia="Arial" w:hAnsi="Arial"/>
          <w:sz w:val="18"/>
          <w:szCs w:val="18"/>
          <w:color w:val="auto"/>
        </w:rPr>
        <w:t xml:space="preserve">On August 29, 2025, we divested our Aerospace Products Group,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to the Consolidated Financial Statements on page 121. Due to the divestiture, as of August 29, 2025, trade receivables decreased $23 million, inventories decreased $68 million, and accounts payable decreased $ 15 million. As a result, our DSO and DPO decreased by approximately two days and DIO decreased by seven days due to the long lead times typical in the aerospace industry.</w:t>
      </w:r>
    </w:p>
    <w:p>
      <w:pPr>
        <w:spacing w:after="0" w:line="125" w:lineRule="exact"/>
        <w:rPr>
          <w:sz w:val="20"/>
          <w:szCs w:val="20"/>
          <w:color w:val="auto"/>
        </w:rPr>
      </w:pPr>
    </w:p>
    <w:p>
      <w:pPr>
        <w:ind w:left="440" w:right="280" w:firstLine="402"/>
        <w:spacing w:after="0" w:line="265" w:lineRule="auto"/>
        <w:rPr>
          <w:sz w:val="20"/>
          <w:szCs w:val="20"/>
          <w:color w:val="auto"/>
        </w:rPr>
      </w:pPr>
      <w:r>
        <w:rPr>
          <w:rFonts w:ascii="Arial" w:cs="Arial" w:eastAsia="Arial" w:hAnsi="Arial"/>
          <w:sz w:val="18"/>
          <w:szCs w:val="18"/>
          <w:b w:val="1"/>
          <w:bCs w:val="1"/>
          <w:u w:val="single" w:color="auto"/>
          <w:color w:val="auto"/>
        </w:rPr>
        <w:t>Trade Receivables</w:t>
      </w:r>
      <w:r>
        <w:rPr>
          <w:rFonts w:ascii="Arial" w:cs="Arial" w:eastAsia="Arial" w:hAnsi="Arial"/>
          <w:sz w:val="18"/>
          <w:szCs w:val="18"/>
          <w:b w:val="1"/>
          <w:bCs w:val="1"/>
          <w:color w:val="auto"/>
        </w:rPr>
        <w:t xml:space="preserve"> - </w:t>
      </w:r>
      <w:r>
        <w:rPr>
          <w:rFonts w:ascii="Arial" w:cs="Arial" w:eastAsia="Arial" w:hAnsi="Arial"/>
          <w:sz w:val="18"/>
          <w:szCs w:val="18"/>
          <w:color w:val="auto"/>
        </w:rPr>
        <w:t>Our trade receivables decreased by $69 million at December 31, 2025 compared to the prior year,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DSO has been relatively consistent the last three years. The decrease in accounts receivable was primarily due to the Aerospace Products Group divestiture and demand softness, partially offset by currency impacts.</w:t>
      </w:r>
    </w:p>
    <w:p>
      <w:pPr>
        <w:spacing w:after="0" w:line="52" w:lineRule="exact"/>
        <w:rPr>
          <w:sz w:val="20"/>
          <w:szCs w:val="20"/>
          <w:color w:val="auto"/>
        </w:rPr>
      </w:pPr>
    </w:p>
    <w:p>
      <w:pPr>
        <w:ind w:left="440" w:right="180" w:firstLine="402"/>
        <w:spacing w:after="0" w:line="255" w:lineRule="auto"/>
        <w:rPr>
          <w:sz w:val="20"/>
          <w:szCs w:val="20"/>
          <w:color w:val="auto"/>
        </w:rPr>
      </w:pPr>
      <w:r>
        <w:rPr>
          <w:rFonts w:ascii="Arial" w:cs="Arial" w:eastAsia="Arial" w:hAnsi="Arial"/>
          <w:sz w:val="18"/>
          <w:szCs w:val="18"/>
          <w:color w:val="auto"/>
        </w:rPr>
        <w:t>We recorded bad debt expense of $7 million during 2025 and $6 million during 2024. Weak demand and changing market dynamics have created disruption and financial instability for some of our customers, particularly in the Bedding Products segment. Recently, we have seen slower payment trends among certain customers, and we are actively managing and maintaining close oversight of these receivables. We monitor our receivables closely and make reserve decisions based upon individual customer risk reviews, aging of customer accounts, historical loss experience, and general macroeconomic and industry trends that could impact the expected collectability of all customers or pools of customers with similar risk.</w:t>
      </w:r>
    </w:p>
    <w:p>
      <w:pPr>
        <w:spacing w:after="0" w:line="61" w:lineRule="exact"/>
        <w:rPr>
          <w:sz w:val="20"/>
          <w:szCs w:val="20"/>
          <w:color w:val="auto"/>
        </w:rPr>
      </w:pPr>
    </w:p>
    <w:p>
      <w:pPr>
        <w:jc w:val="both"/>
        <w:ind w:left="440" w:right="40" w:firstLine="402"/>
        <w:spacing w:after="0" w:line="265" w:lineRule="auto"/>
        <w:rPr>
          <w:sz w:val="20"/>
          <w:szCs w:val="20"/>
          <w:color w:val="auto"/>
        </w:rPr>
      </w:pPr>
      <w:r>
        <w:rPr>
          <w:rFonts w:ascii="Arial" w:cs="Arial" w:eastAsia="Arial" w:hAnsi="Arial"/>
          <w:sz w:val="18"/>
          <w:szCs w:val="18"/>
          <w:b w:val="1"/>
          <w:bCs w:val="1"/>
          <w:u w:val="single" w:color="auto"/>
          <w:color w:val="auto"/>
        </w:rPr>
        <w:t>Inventories</w:t>
      </w:r>
      <w:r>
        <w:rPr>
          <w:rFonts w:ascii="Arial" w:cs="Arial" w:eastAsia="Arial" w:hAnsi="Arial"/>
          <w:sz w:val="18"/>
          <w:szCs w:val="18"/>
          <w:b w:val="1"/>
          <w:bCs w:val="1"/>
          <w:color w:val="auto"/>
        </w:rPr>
        <w:t xml:space="preserve"> - </w:t>
      </w:r>
      <w:r>
        <w:rPr>
          <w:rFonts w:ascii="Arial" w:cs="Arial" w:eastAsia="Arial" w:hAnsi="Arial"/>
          <w:sz w:val="18"/>
          <w:szCs w:val="18"/>
          <w:color w:val="auto"/>
        </w:rPr>
        <w:t>Our inventories decreased by $100 million at December 31, 2025 compared to the prior year, and our DIO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2025 primarily due to the Aerospace Products Group divestiture and inventory reductions to align with demand softness, partially offset by inflation and currency impacts.</w:t>
      </w:r>
    </w:p>
    <w:p>
      <w:pPr>
        <w:spacing w:after="0" w:line="38" w:lineRule="exact"/>
        <w:rPr>
          <w:sz w:val="20"/>
          <w:szCs w:val="20"/>
          <w:color w:val="auto"/>
        </w:rPr>
      </w:pPr>
    </w:p>
    <w:p>
      <w:pPr>
        <w:ind w:left="440" w:right="80" w:firstLine="402"/>
        <w:spacing w:after="0" w:line="255" w:lineRule="auto"/>
        <w:rPr>
          <w:sz w:val="20"/>
          <w:szCs w:val="20"/>
          <w:color w:val="auto"/>
        </w:rPr>
      </w:pPr>
      <w:r>
        <w:rPr>
          <w:rFonts w:ascii="Arial" w:cs="Arial" w:eastAsia="Arial" w:hAnsi="Arial"/>
          <w:sz w:val="18"/>
          <w:szCs w:val="18"/>
          <w:color w:val="auto"/>
        </w:rPr>
        <w:t>We continuously monitor our slower-moving and potentially obsolete inventory through reports on inventory quantities compared to usage within the previous 12 months. We also monitor potential inventory implications for customers experiencing financial challenges which may impact their ability to take delivery of previously ordered inventory. When potential inventory obsolescence is indicated by these controls, we will take charges for write-downs to maintain an adequate level of reserves. Write-down of inventories were $13 million, $36 million, and $9 million during 2025, 2024, and 2023, respectively. Reserves increased in 2024 primarily due to 2024 Restructuring Plan impacts and write-downs of selected products primarily in our Bedding Products segment.</w:t>
      </w:r>
    </w:p>
    <w:p>
      <w:pPr>
        <w:spacing w:after="0" w:line="61" w:lineRule="exact"/>
        <w:rPr>
          <w:sz w:val="20"/>
          <w:szCs w:val="20"/>
          <w:color w:val="auto"/>
        </w:rPr>
      </w:pPr>
    </w:p>
    <w:p>
      <w:pPr>
        <w:ind w:left="440" w:right="80" w:firstLine="402"/>
        <w:spacing w:after="0" w:line="257" w:lineRule="auto"/>
        <w:rPr>
          <w:sz w:val="20"/>
          <w:szCs w:val="20"/>
          <w:color w:val="auto"/>
        </w:rPr>
      </w:pPr>
      <w:r>
        <w:rPr>
          <w:rFonts w:ascii="Arial" w:cs="Arial" w:eastAsia="Arial" w:hAnsi="Arial"/>
          <w:sz w:val="18"/>
          <w:szCs w:val="18"/>
          <w:b w:val="1"/>
          <w:bCs w:val="1"/>
          <w:u w:val="single" w:color="auto"/>
          <w:color w:val="auto"/>
        </w:rPr>
        <w:t>Accounts Payable</w:t>
      </w:r>
      <w:r>
        <w:rPr>
          <w:rFonts w:ascii="Arial" w:cs="Arial" w:eastAsia="Arial" w:hAnsi="Arial"/>
          <w:sz w:val="18"/>
          <w:szCs w:val="18"/>
          <w:b w:val="1"/>
          <w:bCs w:val="1"/>
          <w:color w:val="auto"/>
        </w:rPr>
        <w:t xml:space="preserve"> - </w:t>
      </w:r>
      <w:r>
        <w:rPr>
          <w:rFonts w:ascii="Arial" w:cs="Arial" w:eastAsia="Arial" w:hAnsi="Arial"/>
          <w:sz w:val="18"/>
          <w:szCs w:val="18"/>
          <w:color w:val="auto"/>
        </w:rPr>
        <w:t>Our accounts payable decreased by $31 million at December 31, 2025 compared to the prior year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DPO has been relatively consistent in the last three years. The 2025 accounts payable decrease was primarily related to the Aerospace Products group divestiture and lower purchasing volumes due to demand softness, partially offset by timing of payments and currency impacts. The 2024 accounts payable decrease was related to lower purchasing volumes due to softening demand and efforts to lower inventory levels, partially offset by timing of payments. We continue to look for ways to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right="140"/>
        <w:spacing w:after="0" w:line="282" w:lineRule="auto"/>
        <w:rPr>
          <w:sz w:val="20"/>
          <w:szCs w:val="20"/>
          <w:color w:val="auto"/>
        </w:rPr>
      </w:pPr>
      <w:r>
        <w:rPr>
          <w:rFonts w:ascii="Arial" w:cs="Arial" w:eastAsia="Arial" w:hAnsi="Arial"/>
          <w:sz w:val="18"/>
          <w:szCs w:val="18"/>
          <w:color w:val="auto"/>
        </w:rPr>
        <w:t>establish and maintain favorable payment terms through purchasing synergies and also utilize third-party services that offer flexibility to our vendors, which, in turn, helps us manage our DPO as discussed below.</w:t>
      </w:r>
    </w:p>
    <w:p>
      <w:pPr>
        <w:spacing w:after="0" w:line="23" w:lineRule="exact"/>
        <w:rPr>
          <w:sz w:val="20"/>
          <w:szCs w:val="20"/>
          <w:color w:val="auto"/>
        </w:rPr>
      </w:pPr>
    </w:p>
    <w:p>
      <w:pPr>
        <w:ind w:left="440" w:firstLine="402"/>
        <w:spacing w:after="0" w:line="253" w:lineRule="auto"/>
        <w:rPr>
          <w:sz w:val="20"/>
          <w:szCs w:val="20"/>
          <w:color w:val="auto"/>
        </w:rPr>
      </w:pPr>
      <w:r>
        <w:rPr>
          <w:rFonts w:ascii="Arial" w:cs="Arial" w:eastAsia="Arial" w:hAnsi="Arial"/>
          <w:sz w:val="18"/>
          <w:szCs w:val="18"/>
          <w:b w:val="1"/>
          <w:bCs w:val="1"/>
          <w:u w:val="single" w:color="auto"/>
          <w:color w:val="auto"/>
        </w:rPr>
        <w:t>Accounts Receivable and Accounts Payable Programs</w:t>
      </w:r>
      <w:r>
        <w:rPr>
          <w:rFonts w:ascii="Arial" w:cs="Arial" w:eastAsia="Arial" w:hAnsi="Arial"/>
          <w:sz w:val="18"/>
          <w:szCs w:val="18"/>
          <w:b w:val="1"/>
          <w:bCs w:val="1"/>
          <w:color w:val="auto"/>
        </w:rPr>
        <w:t xml:space="preserve"> - </w:t>
      </w:r>
      <w:r>
        <w:rPr>
          <w:rFonts w:ascii="Arial" w:cs="Arial" w:eastAsia="Arial" w:hAnsi="Arial"/>
          <w:sz w:val="18"/>
          <w:szCs w:val="18"/>
          <w:color w:val="auto"/>
        </w:rPr>
        <w:t>We participate in trade receivables sales programs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Approximately $45 million of trade receivables were sold and removed from our Consolidated Balance Sheets at both December 31, 2025 and 2024. These sales reduced our quarterly DSO by roughly four days at both December 31, 2025 and 2024. There was no operating cash flow impact for December 31, 2025. The impact to operating cash flow was an approximate $15 million decrease in December 31, 2024.</w:t>
      </w:r>
    </w:p>
    <w:p>
      <w:pPr>
        <w:spacing w:after="0" w:line="64" w:lineRule="exact"/>
        <w:rPr>
          <w:sz w:val="20"/>
          <w:szCs w:val="20"/>
          <w:color w:val="auto"/>
        </w:rPr>
      </w:pPr>
    </w:p>
    <w:p>
      <w:pPr>
        <w:ind w:left="440" w:firstLine="402"/>
        <w:spacing w:after="0" w:line="254" w:lineRule="auto"/>
        <w:rPr>
          <w:sz w:val="20"/>
          <w:szCs w:val="20"/>
          <w:color w:val="auto"/>
        </w:rPr>
      </w:pPr>
      <w:r>
        <w:rPr>
          <w:rFonts w:ascii="Arial" w:cs="Arial" w:eastAsia="Arial" w:hAnsi="Arial"/>
          <w:sz w:val="18"/>
          <w:szCs w:val="18"/>
          <w:color w:val="auto"/>
        </w:rPr>
        <w:t>For accounts payable, we occasionally utilize third-party programs that allow our suppliers to be paid earlier at a discount. While we continue to make payments based on our customary terms, a supplier can elect to take payment from a third party earlier with a discount, and in that case, we pay the third party on the original due date of the invoice. Contracts with our suppliers are negotiated independently of supplier participation in the programs, and we cannot increase payment terms pursuant to the programs. As such, there is no direct impact on our DPO, accounts payable, operating cash flows, or liquidity. The accounts payable settled through the third-party programs, which remain on our Consolidated Balance Sheets, were approximately $115 million and $120 million at December 31, 2025 and 2024, respectively.</w:t>
      </w:r>
    </w:p>
    <w:p>
      <w:pPr>
        <w:spacing w:after="0" w:line="62" w:lineRule="exact"/>
        <w:rPr>
          <w:sz w:val="20"/>
          <w:szCs w:val="20"/>
          <w:color w:val="auto"/>
        </w:rPr>
      </w:pPr>
    </w:p>
    <w:p>
      <w:pPr>
        <w:ind w:left="440" w:firstLine="402"/>
        <w:spacing w:after="0" w:line="259" w:lineRule="auto"/>
        <w:rPr>
          <w:sz w:val="20"/>
          <w:szCs w:val="20"/>
          <w:color w:val="auto"/>
        </w:rPr>
      </w:pPr>
      <w:r>
        <w:rPr>
          <w:rFonts w:ascii="Arial" w:cs="Arial" w:eastAsia="Arial" w:hAnsi="Arial"/>
          <w:sz w:val="18"/>
          <w:szCs w:val="18"/>
          <w:color w:val="auto"/>
        </w:rPr>
        <w:t>The above items encompass multiple individual programs that are utilized as tools in our cash flow management, and we offer them as options to facilitate customer and vendor operating cycles. Because many of these programs operate independently, and a cessation of all these programs at the same time is not reasonably likely, we do not expect changes in these programs to have a material impact on our operating cash flows or liquidity.</w:t>
      </w:r>
    </w:p>
    <w:p>
      <w:pPr>
        <w:spacing w:after="0" w:line="45" w:lineRule="exact"/>
        <w:rPr>
          <w:sz w:val="20"/>
          <w:szCs w:val="20"/>
          <w:color w:val="auto"/>
        </w:rPr>
      </w:pPr>
    </w:p>
    <w:p>
      <w:pPr>
        <w:ind w:left="440" w:right="20" w:firstLine="402"/>
        <w:spacing w:after="0" w:line="255" w:lineRule="auto"/>
        <w:rPr>
          <w:sz w:val="20"/>
          <w:szCs w:val="20"/>
          <w:color w:val="auto"/>
        </w:rPr>
      </w:pPr>
      <w:r>
        <w:rPr>
          <w:rFonts w:ascii="Arial" w:cs="Arial" w:eastAsia="Arial" w:hAnsi="Arial"/>
          <w:sz w:val="18"/>
          <w:szCs w:val="18"/>
          <w:b w:val="1"/>
          <w:bCs w:val="1"/>
          <w:u w:val="single" w:color="auto"/>
          <w:color w:val="auto"/>
        </w:rPr>
        <w:t>Mexico Value-Added Taxes (VAT) Recoverable</w:t>
      </w:r>
      <w:r>
        <w:rPr>
          <w:rFonts w:ascii="Arial" w:cs="Arial" w:eastAsia="Arial" w:hAnsi="Arial"/>
          <w:sz w:val="18"/>
          <w:szCs w:val="18"/>
          <w:b w:val="1"/>
          <w:bCs w:val="1"/>
          <w:color w:val="auto"/>
        </w:rPr>
        <w:t xml:space="preserve"> - </w:t>
      </w:r>
      <w:r>
        <w:rPr>
          <w:rFonts w:ascii="Arial" w:cs="Arial" w:eastAsia="Arial" w:hAnsi="Arial"/>
          <w:sz w:val="18"/>
          <w:szCs w:val="18"/>
          <w:color w:val="auto"/>
        </w:rPr>
        <w:t>We are subject to VAT in various jurisdictions. Where we are entitled to a refund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VAT we have paid, we submit claims to the government authorities and establish receivables for these claims. As of December 31, 2024, we had outstanding Mexico VAT receivables of $ 35 million, primarily due to delays in processing refunds by the local tax authorities. Refunds received during 2025 reduced this receivable to $2 million at December 31, 2025. To mitigate the impact of future VAT outflows in Mexico, we obtained a temporary tax exemption in 2025 for one of our primary Mexico entities, thereby improving cash flow and reducing the need to submit refund claims.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Commercial Paper Program</w:t>
      </w:r>
    </w:p>
    <w:p>
      <w:pPr>
        <w:spacing w:after="0" w:line="107" w:lineRule="exact"/>
        <w:rPr>
          <w:sz w:val="20"/>
          <w:szCs w:val="20"/>
          <w:color w:val="auto"/>
        </w:rPr>
      </w:pPr>
    </w:p>
    <w:p>
      <w:pPr>
        <w:jc w:val="both"/>
        <w:ind w:right="220" w:firstLine="402"/>
        <w:spacing w:after="0" w:line="265" w:lineRule="auto"/>
        <w:rPr>
          <w:sz w:val="20"/>
          <w:szCs w:val="20"/>
          <w:color w:val="auto"/>
        </w:rPr>
      </w:pPr>
      <w:r>
        <w:rPr>
          <w:rFonts w:ascii="Arial" w:cs="Arial" w:eastAsia="Arial" w:hAnsi="Arial"/>
          <w:sz w:val="18"/>
          <w:szCs w:val="18"/>
          <w:color w:val="auto"/>
        </w:rPr>
        <w:t xml:space="preserve">Another source of funds for our short-term cash requirements is our $ 1.0 billion commercial paper program. As of December 31, 2025, we had $709 million available under the program. For more information on our commercial paper program, see </w:t>
      </w:r>
      <w:r>
        <w:rPr>
          <w:rFonts w:ascii="Arial" w:cs="Arial" w:eastAsia="Arial" w:hAnsi="Arial"/>
          <w:sz w:val="18"/>
          <w:szCs w:val="18"/>
          <w:u w:val="single" w:color="auto"/>
          <w:color w:val="0000FF"/>
        </w:rPr>
        <w:t>Commercial Paper Program</w:t>
      </w:r>
      <w:r>
        <w:rPr>
          <w:rFonts w:ascii="Arial" w:cs="Arial" w:eastAsia="Arial" w:hAnsi="Arial"/>
          <w:sz w:val="18"/>
          <w:szCs w:val="18"/>
          <w:color w:val="auto"/>
        </w:rPr>
        <w:t xml:space="preserve"> on page 57.</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Credit Facility</w:t>
      </w:r>
    </w:p>
    <w:p>
      <w:pPr>
        <w:spacing w:after="0" w:line="107"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 xml:space="preserve">Our credit facility is a multi -currency facility providing us the ability, from time to time, to borrow, repay, and re-borrow up to $1.0 billion until the maturity date, at which time our ability to borrow under the facility will terminate. The credit facility matures in July 2030. Currently, there are no borrowings under the credit facility. For more information on our credit facility, see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58, and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Capital Markets</w:t>
      </w:r>
    </w:p>
    <w:p>
      <w:pPr>
        <w:spacing w:after="0" w:line="107"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 xml:space="preserve">Our cost of borrowing and ability to access the capital markets are affected by market conditions and the credit ratings assigned to our debt. While we believe that we have the ability to raise debt in the capital markets which acts as a source of funding of long-term cash requirements, a downgrade of our credit rating could limit our access to the capital markets and result in increased borrowing costs. Currently, we have $1.5 billion of total debt outstanding in equal tranches maturing in 2027, 2029, and 2051. For more information, please see </w:t>
      </w:r>
      <w:r>
        <w:rPr>
          <w:rFonts w:ascii="Arial" w:cs="Arial" w:eastAsia="Arial" w:hAnsi="Arial"/>
          <w:sz w:val="18"/>
          <w:szCs w:val="18"/>
          <w:u w:val="single" w:color="auto"/>
          <w:color w:val="0000FF"/>
        </w:rPr>
        <w:t>Long-Term Debt</w:t>
      </w:r>
      <w:r>
        <w:rPr>
          <w:rFonts w:ascii="Arial" w:cs="Arial" w:eastAsia="Arial" w:hAnsi="Arial"/>
          <w:sz w:val="18"/>
          <w:szCs w:val="18"/>
          <w:color w:val="0000FF"/>
        </w:rPr>
        <w:t xml:space="preserve"> </w:t>
      </w:r>
      <w:r>
        <w:rPr>
          <w:rFonts w:ascii="Arial" w:cs="Arial" w:eastAsia="Arial" w:hAnsi="Arial"/>
          <w:sz w:val="18"/>
          <w:szCs w:val="18"/>
          <w:color w:val="000000"/>
        </w:rPr>
        <w:t>on page 58,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J</w:t>
      </w:r>
      <w:r>
        <w:rPr>
          <w:rFonts w:ascii="Arial" w:cs="Arial" w:eastAsia="Arial" w:hAnsi="Arial"/>
          <w:sz w:val="18"/>
          <w:szCs w:val="18"/>
          <w:color w:val="0000FF"/>
        </w:rPr>
        <w:t xml:space="preserve"> </w:t>
      </w:r>
      <w:r>
        <w:rPr>
          <w:rFonts w:ascii="Arial" w:cs="Arial" w:eastAsia="Arial" w:hAnsi="Arial"/>
          <w:sz w:val="18"/>
          <w:szCs w:val="18"/>
          <w:color w:val="000000"/>
        </w:rPr>
        <w:t>on page 101 of the Notes to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Uses of Cash</w:t>
      </w:r>
    </w:p>
    <w:p>
      <w:pPr>
        <w:spacing w:after="0" w:line="89"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We reduced debt during 2025 using a combination of Aerospace divestiture proceeds, cash from operations, and real estate sales. In the near term, we anticipate applying most of our cash flow from operations to reduce net debt, while also pursuing opportunities for share repurchases and small strategic acquisitions as conditions allow. In the longer term, we expect to use cash to grow our business, both organically and through strategic acquisitions, while also returning cash to shareholders through share repurchases and dividends.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20320</wp:posOffset>
            </wp:positionV>
            <wp:extent cx="2834640" cy="22644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834640" cy="226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rPr>
          <w:sz w:val="20"/>
          <w:szCs w:val="20"/>
          <w:color w:val="auto"/>
        </w:rPr>
      </w:pPr>
      <w:r>
        <w:rPr>
          <w:rFonts w:ascii="Arial" w:cs="Arial" w:eastAsia="Arial" w:hAnsi="Arial"/>
          <w:sz w:val="16"/>
          <w:szCs w:val="16"/>
          <w:color w:val="FFFFFF"/>
        </w:rPr>
        <w:t>Capital expenditures - 2023 $114 million, 2024 $82 million, 2025 $57 million</w:t>
      </w:r>
    </w:p>
    <w:p>
      <w:pPr>
        <w:spacing w:after="0" w:line="4" w:lineRule="exact"/>
        <w:rPr>
          <w:sz w:val="20"/>
          <w:szCs w:val="20"/>
          <w:color w:val="auto"/>
        </w:rPr>
      </w:pPr>
    </w:p>
    <w:p>
      <w:pPr>
        <w:ind w:right="220" w:firstLine="402"/>
        <w:spacing w:after="0" w:line="236" w:lineRule="auto"/>
        <w:rPr>
          <w:sz w:val="20"/>
          <w:szCs w:val="20"/>
          <w:color w:val="auto"/>
        </w:rPr>
      </w:pPr>
      <w:r>
        <w:rPr>
          <w:rFonts w:ascii="Arial" w:cs="Arial" w:eastAsia="Arial" w:hAnsi="Arial"/>
          <w:sz w:val="18"/>
          <w:szCs w:val="18"/>
          <w:color w:val="auto"/>
        </w:rPr>
        <w:t>Total capital expenditures in 2025 were $ 57 million, lower than previous years, primarily due to the execution of the 2024 Restructuring Plan and the delay of some projects into 2026 due to operational priorities and tariff considerations. We expect capital expenditures of $100 million to $ 115 million in 2026, primarily driven by normal maintenance and growth, projects delayed from 2025, and the replacement of equipment lost in a storage facility fire within our Bedding Products segment. These expenditures are expected to include investments to support expansion in businesses and product lines where sales are profitably growing, maintenance, efficiency improvements, and system enhancements.</w:t>
      </w:r>
    </w:p>
    <w:p>
      <w:pPr>
        <w:spacing w:after="0" w:line="74" w:lineRule="exact"/>
        <w:rPr>
          <w:sz w:val="20"/>
          <w:szCs w:val="20"/>
          <w:color w:val="auto"/>
        </w:rPr>
      </w:pPr>
    </w:p>
    <w:p>
      <w:pPr>
        <w:jc w:val="both"/>
        <w:ind w:right="20" w:firstLine="402"/>
        <w:spacing w:after="0" w:line="265" w:lineRule="auto"/>
        <w:rPr>
          <w:sz w:val="20"/>
          <w:szCs w:val="20"/>
          <w:color w:val="auto"/>
        </w:rPr>
      </w:pPr>
      <w:r>
        <w:rPr>
          <w:rFonts w:ascii="Arial" w:cs="Arial" w:eastAsia="Arial" w:hAnsi="Arial"/>
          <w:sz w:val="18"/>
          <w:szCs w:val="18"/>
          <w:color w:val="auto"/>
        </w:rPr>
        <w:t>For the periods covered, our employee incentive plans emphasized returns on capital, including capital expenditures and working capital. This emphasis focuses our management on asset utilization and helps ensure that we are investing additional capital dollars where attractive return potential exists.</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28575</wp:posOffset>
            </wp:positionV>
            <wp:extent cx="5516245" cy="2085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516245"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FFFFFF"/>
        </w:rPr>
        <w:t>Dividends Paid-2023 $239M, 2024 $136M, 2025 $27M; Dividends Declared-2023 $1.82, 2024 $0.61, 2025 $.20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10" w:lineRule="exact"/>
        <w:rPr>
          <w:sz w:val="20"/>
          <w:szCs w:val="20"/>
          <w:color w:val="auto"/>
        </w:rPr>
      </w:pPr>
    </w:p>
    <w:p>
      <w:pPr>
        <w:ind w:firstLine="442"/>
        <w:spacing w:after="0" w:line="259" w:lineRule="auto"/>
        <w:rPr>
          <w:sz w:val="20"/>
          <w:szCs w:val="20"/>
          <w:color w:val="auto"/>
        </w:rPr>
      </w:pPr>
      <w:r>
        <w:rPr>
          <w:rFonts w:ascii="Arial" w:cs="Arial" w:eastAsia="Arial" w:hAnsi="Arial"/>
          <w:sz w:val="18"/>
          <w:szCs w:val="18"/>
          <w:color w:val="auto"/>
        </w:rPr>
        <w:t>In 2025, we paid quarterly dividends of $.05 per share. In the last two quarters of 2024, we paid a quarterly dividend of $.05 per share compared to $.46 per share in the last two quarters of 2023. The decision to reduce the dividend was made following a thorough evaluation by the Board and our management team. This action frees up capital to accelerate the deleveraging of our balance sheet and solidify our long-held financial strength.</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Share Repurchases</w:t>
      </w:r>
    </w:p>
    <w:p>
      <w:pPr>
        <w:spacing w:after="0" w:line="107" w:lineRule="exact"/>
        <w:rPr>
          <w:sz w:val="20"/>
          <w:szCs w:val="20"/>
          <w:color w:val="auto"/>
        </w:rPr>
      </w:pPr>
    </w:p>
    <w:p>
      <w:pPr>
        <w:ind w:right="20" w:firstLine="402"/>
        <w:spacing w:after="0" w:line="259" w:lineRule="auto"/>
        <w:rPr>
          <w:sz w:val="20"/>
          <w:szCs w:val="20"/>
          <w:color w:val="auto"/>
        </w:rPr>
      </w:pPr>
      <w:r>
        <w:rPr>
          <w:rFonts w:ascii="Arial" w:cs="Arial" w:eastAsia="Arial" w:hAnsi="Arial"/>
          <w:sz w:val="18"/>
          <w:szCs w:val="18"/>
          <w:color w:val="auto"/>
        </w:rPr>
        <w:t>We have been authorized by the Board to repurchase up to 10 million shares each calendar year, but we have established no specific repurchase commitment or timetable. The amount of future repurchases is dependent upon the price of the stock, the amount of discretionary cash flow generated by the Company, alternative uses for the cash (including organic growth opportunities and acquisitions) and other factors. We expect share repurchases to offset share issuances, resulting in minimal dilution in 2026.</w:t>
      </w:r>
    </w:p>
    <w:p>
      <w:pPr>
        <w:spacing w:after="0" w:line="45" w:lineRule="exact"/>
        <w:rPr>
          <w:sz w:val="20"/>
          <w:szCs w:val="20"/>
          <w:color w:val="auto"/>
        </w:rPr>
      </w:pPr>
    </w:p>
    <w:p>
      <w:pPr>
        <w:jc w:val="both"/>
        <w:ind w:right="20" w:firstLine="402"/>
        <w:spacing w:after="0" w:line="265" w:lineRule="auto"/>
        <w:rPr>
          <w:sz w:val="20"/>
          <w:szCs w:val="20"/>
          <w:color w:val="auto"/>
        </w:rPr>
      </w:pPr>
      <w:r>
        <w:rPr>
          <w:rFonts w:ascii="Arial" w:cs="Arial" w:eastAsia="Arial" w:hAnsi="Arial"/>
          <w:sz w:val="18"/>
          <w:szCs w:val="18"/>
          <w:color w:val="auto"/>
        </w:rPr>
        <w:t>During the last three years, we repurchased a total of 1 million shares of our stock and issued 4 million shares through employee benefit plans. Our net share repurchases were $6 million, $5 million, and $2 million in 2023, 2024, and 2025, respectively. In 2025, we repurchased .3 million shares (at an average price of $9.80) and issued 1 million shares.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Acquisitions</w:t>
      </w:r>
    </w:p>
    <w:p>
      <w:pPr>
        <w:spacing w:after="0" w:line="107" w:lineRule="exact"/>
        <w:rPr>
          <w:sz w:val="20"/>
          <w:szCs w:val="20"/>
          <w:color w:val="auto"/>
        </w:rPr>
      </w:pPr>
    </w:p>
    <w:p>
      <w:pPr>
        <w:jc w:val="both"/>
        <w:ind w:right="20" w:firstLine="402"/>
        <w:spacing w:after="0" w:line="265" w:lineRule="auto"/>
        <w:rPr>
          <w:sz w:val="20"/>
          <w:szCs w:val="20"/>
          <w:color w:val="auto"/>
        </w:rPr>
      </w:pPr>
      <w:r>
        <w:rPr>
          <w:rFonts w:ascii="Arial" w:cs="Arial" w:eastAsia="Arial" w:hAnsi="Arial"/>
          <w:sz w:val="18"/>
          <w:szCs w:val="18"/>
          <w:color w:val="auto"/>
        </w:rPr>
        <w:t>We seek acquisitions that add capabilities in our businesses. We expect all acquisitions to have a clear strategic rationale, a sustainable competitive advantage, a strong fit with the Company, and be in attractive and growing markets. No businesses were acquired in the last three years.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25"/>
          <w:szCs w:val="25"/>
          <w:b w:val="1"/>
          <w:bCs w:val="1"/>
          <w:u w:val="single" w:color="auto"/>
          <w:color w:val="auto"/>
        </w:rPr>
        <w:t>Short-Term and Long-Term Cash Requirements</w:t>
      </w:r>
    </w:p>
    <w:p>
      <w:pPr>
        <w:spacing w:after="0" w:line="107" w:lineRule="exact"/>
        <w:rPr>
          <w:sz w:val="20"/>
          <w:szCs w:val="20"/>
          <w:color w:val="auto"/>
        </w:rPr>
      </w:pPr>
    </w:p>
    <w:p>
      <w:pPr>
        <w:ind w:right="120" w:firstLine="402"/>
        <w:spacing w:after="0" w:line="272" w:lineRule="auto"/>
        <w:rPr>
          <w:sz w:val="20"/>
          <w:szCs w:val="20"/>
          <w:color w:val="auto"/>
        </w:rPr>
      </w:pPr>
      <w:r>
        <w:rPr>
          <w:rFonts w:ascii="Arial" w:cs="Arial" w:eastAsia="Arial" w:hAnsi="Arial"/>
          <w:sz w:val="18"/>
          <w:szCs w:val="18"/>
          <w:color w:val="auto"/>
        </w:rPr>
        <w:t>In addition to the expected uses of cash discussed above, we have various material short-term (12 months or less) and long-term (more than 12 months) cash requirements as of December 31, 2025 as listed below:</w:t>
      </w:r>
    </w:p>
    <w:tbl>
      <w:tblPr>
        <w:tblLayout w:type="fixed"/>
        <w:tblInd w:w="900" w:type="dxa"/>
        <w:tblCellMar>
          <w:top w:w="0" w:type="dxa"/>
          <w:left w:w="0" w:type="dxa"/>
          <w:bottom w:w="0" w:type="dxa"/>
          <w:right w:w="0" w:type="dxa"/>
        </w:tblCellMar>
      </w:tblPr>
      <w:tr>
        <w:trPr>
          <w:trHeight w:val="233"/>
        </w:trPr>
        <w:tc>
          <w:tcPr>
            <w:tcW w:w="664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Cash Requirements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Short-Term</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Long-Term</w:t>
            </w:r>
          </w:p>
        </w:tc>
      </w:tr>
      <w:tr>
        <w:trPr>
          <w:trHeight w:val="201"/>
        </w:trPr>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(Dollar amounts in millions)</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28"/>
        </w:trPr>
        <w:tc>
          <w:tcPr>
            <w:tcW w:w="6740" w:type="dxa"/>
            <w:vAlign w:val="bottom"/>
            <w:gridSpan w:val="2"/>
          </w:tcPr>
          <w:p>
            <w:pPr>
              <w:spacing w:after="0" w:line="227" w:lineRule="exact"/>
              <w:rPr>
                <w:sz w:val="20"/>
                <w:szCs w:val="20"/>
                <w:color w:val="auto"/>
              </w:rPr>
            </w:pPr>
            <w:r>
              <w:rPr>
                <w:rFonts w:ascii="Arial" w:cs="Arial" w:eastAsia="Arial" w:hAnsi="Arial"/>
                <w:sz w:val="17"/>
                <w:szCs w:val="17"/>
                <w:color w:val="auto"/>
              </w:rPr>
              <w:t xml:space="preserve">Current and long-term debt, excluding finance leases </w:t>
            </w:r>
            <w:r>
              <w:rPr>
                <w:rFonts w:ascii="Arial" w:cs="Arial" w:eastAsia="Arial" w:hAnsi="Arial"/>
                <w:sz w:val="26"/>
                <w:szCs w:val="26"/>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28"/>
        </w:trPr>
        <w:tc>
          <w:tcPr>
            <w:tcW w:w="6740" w:type="dxa"/>
            <w:vAlign w:val="bottom"/>
            <w:gridSpan w:val="2"/>
            <w:shd w:val="clear" w:color="auto" w:fill="CCEEFF"/>
          </w:tcPr>
          <w:p>
            <w:pPr>
              <w:spacing w:after="0" w:line="227" w:lineRule="exact"/>
              <w:rPr>
                <w:sz w:val="20"/>
                <w:szCs w:val="20"/>
                <w:color w:val="auto"/>
              </w:rPr>
            </w:pPr>
            <w:r>
              <w:rPr>
                <w:rFonts w:ascii="Arial" w:cs="Arial" w:eastAsia="Arial" w:hAnsi="Arial"/>
                <w:sz w:val="17"/>
                <w:szCs w:val="17"/>
                <w:color w:val="auto"/>
              </w:rPr>
              <w:t xml:space="preserve">Operating and finance leases </w:t>
            </w:r>
            <w:r>
              <w:rPr>
                <w:rFonts w:ascii="Arial" w:cs="Arial" w:eastAsia="Arial" w:hAnsi="Arial"/>
                <w:sz w:val="26"/>
                <w:szCs w:val="26"/>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8"/>
        </w:trPr>
        <w:tc>
          <w:tcPr>
            <w:tcW w:w="6740" w:type="dxa"/>
            <w:vAlign w:val="bottom"/>
            <w:gridSpan w:val="2"/>
          </w:tcPr>
          <w:p>
            <w:pPr>
              <w:spacing w:after="0" w:line="227"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6"/>
                <w:szCs w:val="26"/>
                <w:b w:val="1"/>
                <w:bCs w:val="1"/>
                <w:color w:val="auto"/>
                <w:vertAlign w:val="superscript"/>
              </w:rPr>
              <w:t>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740" w:type="dxa"/>
            <w:vAlign w:val="bottom"/>
            <w:gridSpan w:val="2"/>
            <w:shd w:val="clear" w:color="auto" w:fill="CCEEFF"/>
          </w:tcPr>
          <w:p>
            <w:pPr>
              <w:spacing w:after="0" w:line="227" w:lineRule="exact"/>
              <w:rPr>
                <w:sz w:val="20"/>
                <w:szCs w:val="20"/>
                <w:color w:val="auto"/>
              </w:rPr>
            </w:pPr>
            <w:r>
              <w:rPr>
                <w:rFonts w:ascii="Arial" w:cs="Arial" w:eastAsia="Arial" w:hAnsi="Arial"/>
                <w:sz w:val="17"/>
                <w:szCs w:val="17"/>
                <w:color w:val="auto"/>
              </w:rPr>
              <w:t xml:space="preserve">Interest payments </w:t>
            </w:r>
            <w:r>
              <w:rPr>
                <w:rFonts w:ascii="Arial" w:cs="Arial" w:eastAsia="Arial" w:hAnsi="Arial"/>
                <w:sz w:val="26"/>
                <w:szCs w:val="26"/>
                <w:b w:val="1"/>
                <w:bCs w:val="1"/>
                <w:color w:val="auto"/>
                <w:vertAlign w:val="superscript"/>
              </w:rPr>
              <w:t>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bl>
    <w:p>
      <w:pPr>
        <w:spacing w:after="0" w:line="303" w:lineRule="exact"/>
        <w:rPr>
          <w:sz w:val="20"/>
          <w:szCs w:val="20"/>
          <w:color w:val="auto"/>
        </w:rPr>
      </w:pPr>
    </w:p>
    <w:p>
      <w:pPr>
        <w:ind w:left="980" w:right="160" w:hanging="168"/>
        <w:spacing w:after="0" w:line="216" w:lineRule="auto"/>
        <w:tabs>
          <w:tab w:leader="none" w:pos="977" w:val="left"/>
        </w:tabs>
        <w:numPr>
          <w:ilvl w:val="0"/>
          <w:numId w:val="41"/>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long-term debt presented above could be accelerated if we were not able to make the principal and interest payments when due.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in the Notes to Consolidated Financial Statements for more information regarding scheduled maturities of our long-term debt.</w:t>
      </w:r>
    </w:p>
    <w:p>
      <w:pPr>
        <w:ind w:left="960" w:hanging="148"/>
        <w:spacing w:after="0" w:line="231" w:lineRule="auto"/>
        <w:tabs>
          <w:tab w:leader="none" w:pos="960" w:val="left"/>
        </w:tabs>
        <w:numPr>
          <w:ilvl w:val="0"/>
          <w:numId w:val="42"/>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on page 103 in the Notes to Consolidated Financial Statements for additional information on leases.</w:t>
      </w:r>
    </w:p>
    <w:p>
      <w:pPr>
        <w:spacing w:after="0" w:line="73" w:lineRule="exact"/>
        <w:rPr>
          <w:sz w:val="20"/>
          <w:szCs w:val="20"/>
          <w:color w:val="auto"/>
        </w:rPr>
      </w:pPr>
    </w:p>
    <w:p>
      <w:pPr>
        <w:ind w:left="980" w:right="20" w:hanging="168"/>
        <w:spacing w:after="0" w:line="204" w:lineRule="auto"/>
        <w:tabs>
          <w:tab w:leader="none" w:pos="977" w:val="left"/>
        </w:tabs>
        <w:numPr>
          <w:ilvl w:val="0"/>
          <w:numId w:val="43"/>
        </w:numPr>
        <w:rPr>
          <w:rFonts w:ascii="Arial" w:cs="Arial" w:eastAsia="Arial" w:hAnsi="Arial"/>
          <w:sz w:val="28"/>
          <w:szCs w:val="28"/>
          <w:b w:val="1"/>
          <w:bCs w:val="1"/>
          <w:color w:val="auto"/>
          <w:vertAlign w:val="superscript"/>
        </w:rPr>
      </w:pPr>
      <w:r>
        <w:rPr>
          <w:rFonts w:ascii="Arial" w:cs="Arial" w:eastAsia="Arial" w:hAnsi="Arial"/>
          <w:sz w:val="18"/>
          <w:szCs w:val="18"/>
          <w:color w:val="auto"/>
        </w:rPr>
        <w:t>Purchase obligations primarily include open short-term (30-120 days) purchase orders that arise in the normal course of operating our facilities.</w:t>
      </w:r>
    </w:p>
    <w:p>
      <w:pPr>
        <w:spacing w:after="0" w:line="60" w:lineRule="exact"/>
        <w:rPr>
          <w:sz w:val="20"/>
          <w:szCs w:val="20"/>
          <w:color w:val="auto"/>
        </w:rPr>
      </w:pPr>
    </w:p>
    <w:p>
      <w:pPr>
        <w:ind w:left="980" w:right="320" w:hanging="168"/>
        <w:spacing w:after="0" w:line="204" w:lineRule="auto"/>
        <w:tabs>
          <w:tab w:leader="none" w:pos="977" w:val="left"/>
        </w:tabs>
        <w:numPr>
          <w:ilvl w:val="0"/>
          <w:numId w:val="44"/>
        </w:numPr>
        <w:rPr>
          <w:rFonts w:ascii="Arial" w:cs="Arial" w:eastAsia="Arial" w:hAnsi="Arial"/>
          <w:sz w:val="28"/>
          <w:szCs w:val="28"/>
          <w:b w:val="1"/>
          <w:bCs w:val="1"/>
          <w:color w:val="auto"/>
          <w:vertAlign w:val="superscript"/>
        </w:rPr>
      </w:pPr>
      <w:r>
        <w:rPr>
          <w:rFonts w:ascii="Arial" w:cs="Arial" w:eastAsia="Arial" w:hAnsi="Arial"/>
          <w:sz w:val="18"/>
          <w:szCs w:val="18"/>
          <w:color w:val="auto"/>
        </w:rPr>
        <w:t>Interest payments assume debt outstanding remains constant with amounts at December 31, 2025 and at rates in effect at the end of the year.</w:t>
      </w:r>
    </w:p>
    <w:p>
      <w:pPr>
        <w:spacing w:after="0" w:line="73" w:lineRule="exact"/>
        <w:rPr>
          <w:sz w:val="20"/>
          <w:szCs w:val="20"/>
          <w:color w:val="auto"/>
        </w:rPr>
      </w:pPr>
    </w:p>
    <w:p>
      <w:pPr>
        <w:ind w:right="240" w:firstLine="402"/>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on page 101 of the Notes to Consolidated Financial Statements for details regarding deferred income taxes, other reserves for tax contingencies, accrued expenses, and other liabilities reflected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Capitalization</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Capitalization Table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table presents key debt and capitalization statistics at the end of the three most recent years: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(Dollar amounts in millions)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r>
      <w:tr>
        <w:trPr>
          <w:trHeight w:val="221"/>
        </w:trPr>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debt excluding credit facility/commercial paper</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1,801.6</w:t>
            </w:r>
          </w:p>
        </w:tc>
      </w:tr>
      <w:tr>
        <w:trPr>
          <w:trHeight w:val="228"/>
        </w:trPr>
        <w:tc>
          <w:tcPr>
            <w:tcW w:w="5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Less: Current maturities of long-term debt and short-term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308.0</w:t>
            </w:r>
          </w:p>
        </w:tc>
      </w:tr>
      <w:tr>
        <w:trPr>
          <w:trHeight w:val="221"/>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maturities of long-term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1,493.6</w:t>
            </w:r>
          </w:p>
        </w:tc>
      </w:tr>
      <w:tr>
        <w:trPr>
          <w:trHeight w:val="228"/>
        </w:trPr>
        <w:tc>
          <w:tcPr>
            <w:tcW w:w="5880" w:type="dxa"/>
            <w:vAlign w:val="bottom"/>
          </w:tcPr>
          <w:p>
            <w:pPr>
              <w:ind w:left="720"/>
              <w:spacing w:after="0" w:line="227" w:lineRule="exact"/>
              <w:rPr>
                <w:sz w:val="20"/>
                <w:szCs w:val="20"/>
                <w:color w:val="auto"/>
              </w:rPr>
            </w:pPr>
            <w:r>
              <w:rPr>
                <w:rFonts w:ascii="Arial" w:cs="Arial" w:eastAsia="Arial" w:hAnsi="Arial"/>
                <w:sz w:val="17"/>
                <w:szCs w:val="17"/>
                <w:i w:val="1"/>
                <w:iCs w:val="1"/>
                <w:color w:val="auto"/>
              </w:rPr>
              <w:t xml:space="preserve">Average interest rates </w:t>
            </w:r>
            <w:r>
              <w:rPr>
                <w:rFonts w:ascii="Arial" w:cs="Arial" w:eastAsia="Arial" w:hAnsi="Arial"/>
                <w:sz w:val="26"/>
                <w:szCs w:val="26"/>
                <w:b w:val="1"/>
                <w:bCs w:val="1"/>
                <w:color w:val="auto"/>
                <w:vertAlign w:val="superscript"/>
              </w:rPr>
              <w:t>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3.8%</w:t>
            </w:r>
          </w:p>
        </w:tc>
      </w:tr>
      <w:tr>
        <w:trPr>
          <w:trHeight w:val="228"/>
        </w:trPr>
        <w:tc>
          <w:tcPr>
            <w:tcW w:w="5880" w:type="dxa"/>
            <w:vAlign w:val="bottom"/>
            <w:shd w:val="clear" w:color="auto" w:fill="CCEEFF"/>
          </w:tcPr>
          <w:p>
            <w:pPr>
              <w:ind w:left="720"/>
              <w:spacing w:after="0" w:line="227" w:lineRule="exact"/>
              <w:rPr>
                <w:sz w:val="20"/>
                <w:szCs w:val="20"/>
                <w:color w:val="auto"/>
              </w:rPr>
            </w:pPr>
            <w:r>
              <w:rPr>
                <w:rFonts w:ascii="Arial" w:cs="Arial" w:eastAsia="Arial" w:hAnsi="Arial"/>
                <w:sz w:val="17"/>
                <w:szCs w:val="17"/>
                <w:i w:val="1"/>
                <w:iCs w:val="1"/>
                <w:color w:val="auto"/>
              </w:rPr>
              <w:t xml:space="preserve">Average maturities in years </w:t>
            </w:r>
            <w:r>
              <w:rPr>
                <w:rFonts w:ascii="Arial" w:cs="Arial" w:eastAsia="Arial" w:hAnsi="Arial"/>
                <w:sz w:val="26"/>
                <w:szCs w:val="26"/>
                <w:b w:val="1"/>
                <w:bCs w:val="1"/>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10.5</w:t>
            </w:r>
          </w:p>
        </w:tc>
      </w:tr>
      <w:tr>
        <w:trPr>
          <w:trHeight w:val="228"/>
        </w:trPr>
        <w:tc>
          <w:tcPr>
            <w:tcW w:w="5880" w:type="dxa"/>
            <w:vAlign w:val="bottom"/>
          </w:tcPr>
          <w:p>
            <w:pPr>
              <w:ind w:left="120"/>
              <w:spacing w:after="0" w:line="227" w:lineRule="exact"/>
              <w:rPr>
                <w:sz w:val="20"/>
                <w:szCs w:val="20"/>
                <w:color w:val="auto"/>
              </w:rPr>
            </w:pPr>
            <w:r>
              <w:rPr>
                <w:rFonts w:ascii="Arial" w:cs="Arial" w:eastAsia="Arial" w:hAnsi="Arial"/>
                <w:sz w:val="17"/>
                <w:szCs w:val="17"/>
                <w:color w:val="auto"/>
              </w:rPr>
              <w:t xml:space="preserve">Credit facility/commercial paper </w:t>
            </w:r>
            <w:r>
              <w:rPr>
                <w:rFonts w:ascii="Arial" w:cs="Arial" w:eastAsia="Arial" w:hAnsi="Arial"/>
                <w:sz w:val="26"/>
                <w:szCs w:val="26"/>
                <w:b w:val="1"/>
                <w:bCs w:val="1"/>
                <w:color w:val="auto"/>
                <w:vertAlign w:val="superscript"/>
              </w:rPr>
              <w:t>2</w:t>
            </w:r>
          </w:p>
        </w:tc>
        <w:tc>
          <w:tcPr>
            <w:tcW w:w="3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186.0</w:t>
            </w:r>
          </w:p>
        </w:tc>
      </w:tr>
      <w:tr>
        <w:trPr>
          <w:trHeight w:val="228"/>
        </w:trPr>
        <w:tc>
          <w:tcPr>
            <w:tcW w:w="588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Weighted average interest rate on year-end balance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5.6%</w:t>
            </w:r>
          </w:p>
        </w:tc>
      </w:tr>
      <w:tr>
        <w:trPr>
          <w:trHeight w:val="228"/>
        </w:trPr>
        <w:tc>
          <w:tcPr>
            <w:tcW w:w="5880" w:type="dxa"/>
            <w:vAlign w:val="bottom"/>
            <w:tcBorders>
              <w:bottom w:val="single" w:sz="8" w:color="CCEEFF"/>
            </w:tcBorders>
          </w:tcPr>
          <w:p>
            <w:pPr>
              <w:ind w:left="640"/>
              <w:spacing w:after="0"/>
              <w:rPr>
                <w:sz w:val="20"/>
                <w:szCs w:val="20"/>
                <w:color w:val="auto"/>
              </w:rPr>
            </w:pPr>
            <w:r>
              <w:rPr>
                <w:rFonts w:ascii="Arial" w:cs="Arial" w:eastAsia="Arial" w:hAnsi="Arial"/>
                <w:sz w:val="18"/>
                <w:szCs w:val="18"/>
                <w:i w:val="1"/>
                <w:iCs w:val="1"/>
                <w:color w:val="auto"/>
              </w:rPr>
              <w:t>Average interest rate during the year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5.2%</w:t>
            </w: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1,679.6</w:t>
            </w: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Deferred income taxes and other liabilities</w:t>
            </w:r>
          </w:p>
        </w:tc>
        <w:tc>
          <w:tcPr>
            <w:tcW w:w="30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358.3</w:t>
            </w:r>
          </w:p>
        </w:tc>
      </w:tr>
      <w:tr>
        <w:trPr>
          <w:trHeight w:val="22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1,022.6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1,334.0</w:t>
            </w:r>
          </w:p>
        </w:tc>
      </w:tr>
      <w:tr>
        <w:trPr>
          <w:trHeight w:val="221"/>
        </w:trPr>
        <w:tc>
          <w:tcPr>
            <w:tcW w:w="5880" w:type="dxa"/>
            <w:vAlign w:val="bottom"/>
          </w:tcPr>
          <w:p>
            <w:pPr>
              <w:ind w:left="640"/>
              <w:spacing w:after="0"/>
              <w:rPr>
                <w:sz w:val="20"/>
                <w:szCs w:val="20"/>
                <w:color w:val="auto"/>
              </w:rPr>
            </w:pPr>
            <w:r>
              <w:rPr>
                <w:rFonts w:ascii="Arial" w:cs="Arial" w:eastAsia="Arial" w:hAnsi="Arial"/>
                <w:sz w:val="18"/>
                <w:szCs w:val="18"/>
                <w:color w:val="auto"/>
              </w:rPr>
              <w:t>Total capitalization</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2,761.4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2,815.2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3,371.9</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5880" w:type="dxa"/>
            <w:vAlign w:val="bottom"/>
            <w:shd w:val="clear" w:color="auto" w:fill="CCEEFF"/>
          </w:tcPr>
          <w:p>
            <w:pPr>
              <w:spacing w:after="0" w:line="221" w:lineRule="exact"/>
              <w:rPr>
                <w:sz w:val="20"/>
                <w:szCs w:val="20"/>
                <w:color w:val="auto"/>
              </w:rPr>
            </w:pPr>
            <w:r>
              <w:rPr>
                <w:rFonts w:ascii="Arial" w:cs="Arial" w:eastAsia="Arial" w:hAnsi="Arial"/>
                <w:sz w:val="17"/>
                <w:szCs w:val="17"/>
                <w:color w:val="auto"/>
              </w:rPr>
              <w:t xml:space="preserve">Unused committed credit: </w:t>
            </w:r>
            <w:r>
              <w:rPr>
                <w:rFonts w:ascii="Arial" w:cs="Arial" w:eastAsia="Arial" w:hAnsi="Arial"/>
                <w:sz w:val="25"/>
                <w:szCs w:val="25"/>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8"/>
        </w:trPr>
        <w:tc>
          <w:tcPr>
            <w:tcW w:w="5880" w:type="dxa"/>
            <w:vAlign w:val="bottom"/>
          </w:tcPr>
          <w:p>
            <w:pPr>
              <w:ind w:left="640"/>
              <w:spacing w:after="0"/>
              <w:rPr>
                <w:sz w:val="20"/>
                <w:szCs w:val="20"/>
                <w:color w:val="auto"/>
              </w:rPr>
            </w:pPr>
            <w:r>
              <w:rPr>
                <w:rFonts w:ascii="Arial" w:cs="Arial" w:eastAsia="Arial" w:hAnsi="Arial"/>
                <w:sz w:val="18"/>
                <w:szCs w:val="18"/>
                <w:color w:val="auto"/>
              </w:rPr>
              <w:t>Long-term</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1,014.0</w:t>
            </w:r>
          </w:p>
        </w:tc>
      </w:tr>
      <w:tr>
        <w:trPr>
          <w:trHeight w:val="228"/>
        </w:trPr>
        <w:tc>
          <w:tcPr>
            <w:tcW w:w="5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Short-term</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21"/>
        </w:trPr>
        <w:tc>
          <w:tcPr>
            <w:tcW w:w="5880" w:type="dxa"/>
            <w:vAlign w:val="bottom"/>
          </w:tcPr>
          <w:p>
            <w:pPr>
              <w:spacing w:after="0"/>
              <w:rPr>
                <w:sz w:val="20"/>
                <w:szCs w:val="20"/>
                <w:color w:val="auto"/>
              </w:rPr>
            </w:pPr>
            <w:r>
              <w:rPr>
                <w:rFonts w:ascii="Arial" w:cs="Arial" w:eastAsia="Arial" w:hAnsi="Arial"/>
                <w:sz w:val="18"/>
                <w:szCs w:val="18"/>
                <w:color w:val="auto"/>
              </w:rPr>
              <w:t>Total unused committed credit</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rPr>
              <w:t>1,014.0</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5"/>
        </w:trPr>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365.5</w:t>
            </w: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60" w:right="540" w:hanging="170"/>
        <w:spacing w:after="0" w:line="204" w:lineRule="auto"/>
        <w:tabs>
          <w:tab w:leader="none" w:pos="626" w:val="left"/>
        </w:tabs>
        <w:numPr>
          <w:ilvl w:val="0"/>
          <w:numId w:val="45"/>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These rates include current maturities, but exclude commercial paper to reflect the averages of outstanding debt with scheduled maturities.</w:t>
      </w:r>
    </w:p>
    <w:p>
      <w:pPr>
        <w:spacing w:after="0" w:line="60" w:lineRule="exact"/>
        <w:rPr>
          <w:sz w:val="20"/>
          <w:szCs w:val="20"/>
          <w:color w:val="auto"/>
        </w:rPr>
      </w:pPr>
    </w:p>
    <w:p>
      <w:pPr>
        <w:ind w:left="660" w:right="120" w:hanging="170"/>
        <w:spacing w:after="0" w:line="223" w:lineRule="auto"/>
        <w:tabs>
          <w:tab w:leader="none" w:pos="626" w:val="left"/>
        </w:tabs>
        <w:numPr>
          <w:ilvl w:val="0"/>
          <w:numId w:val="46"/>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unused committed credit amount is based on our revolving credit facility and commercial paper program which, at year-end 2024 and 2025, had a total authorized program amount of $1.2 billion and $1.0 billion, respectively. However, our borrowing capacity is limited by covenants to our credit facility. Reference is made to the discussion under </w:t>
      </w:r>
      <w:r>
        <w:rPr>
          <w:rFonts w:ascii="Arial" w:cs="Arial" w:eastAsia="Arial" w:hAnsi="Arial"/>
          <w:sz w:val="18"/>
          <w:szCs w:val="18"/>
          <w:u w:val="single" w:color="auto"/>
          <w:color w:val="0000FF"/>
        </w:rPr>
        <w:t>Commercial Paper Program</w:t>
      </w:r>
      <w:r>
        <w:rPr>
          <w:rFonts w:ascii="Arial" w:cs="Arial" w:eastAsia="Arial" w:hAnsi="Arial"/>
          <w:sz w:val="18"/>
          <w:szCs w:val="18"/>
          <w:color w:val="auto"/>
        </w:rPr>
        <w:t xml:space="preserve"> below on page 57 and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58 for more details about our borrowing capacity at December 31, 2025.</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Commercial Paper Program</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our commercial paper program at December 31 are presented in the table below:</w:t>
      </w:r>
    </w:p>
    <w:p>
      <w:pPr>
        <w:spacing w:after="0" w:line="30" w:lineRule="exact"/>
        <w:rPr>
          <w:sz w:val="20"/>
          <w:szCs w:val="20"/>
          <w:color w:val="auto"/>
        </w:rPr>
      </w:pPr>
    </w:p>
    <w:tbl>
      <w:tblPr>
        <w:tblLayout w:type="fixed"/>
        <w:tblInd w:w="860" w:type="dxa"/>
        <w:tblCellMar>
          <w:top w:w="0" w:type="dxa"/>
          <w:left w:w="0" w:type="dxa"/>
          <w:bottom w:w="0" w:type="dxa"/>
          <w:right w:w="0" w:type="dxa"/>
        </w:tblCellMar>
      </w:tblPr>
      <w:tr>
        <w:trPr>
          <w:trHeight w:val="233"/>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(Dollar amounts in millions)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r>
      <w:tr>
        <w:trPr>
          <w:trHeight w:val="22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authorized program</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r>
      <w:tr>
        <w:trPr>
          <w:trHeight w:val="228"/>
        </w:trPr>
        <w:tc>
          <w:tcPr>
            <w:tcW w:w="6360" w:type="dxa"/>
            <w:vAlign w:val="bottom"/>
          </w:tcPr>
          <w:p>
            <w:pPr>
              <w:ind w:left="120"/>
              <w:spacing w:after="0"/>
              <w:rPr>
                <w:sz w:val="20"/>
                <w:szCs w:val="20"/>
                <w:color w:val="auto"/>
              </w:rPr>
            </w:pPr>
            <w:r>
              <w:rPr>
                <w:rFonts w:ascii="Arial" w:cs="Arial" w:eastAsia="Arial" w:hAnsi="Arial"/>
                <w:sz w:val="18"/>
                <w:szCs w:val="18"/>
                <w:color w:val="auto"/>
              </w:rPr>
              <w:t>Commercial paper outstanding (classified as long-term debt)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186.0</w:t>
            </w:r>
          </w:p>
        </w:tc>
      </w:tr>
      <w:tr>
        <w:trPr>
          <w:trHeight w:val="228"/>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Letters of credit issued under the credit agreement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8"/>
        </w:trPr>
        <w:tc>
          <w:tcPr>
            <w:tcW w:w="6360" w:type="dxa"/>
            <w:vAlign w:val="bottom"/>
            <w:tcBorders>
              <w:bottom w:val="single" w:sz="8" w:color="CCEEFF"/>
            </w:tcBorders>
          </w:tcPr>
          <w:p>
            <w:pPr>
              <w:ind w:left="120"/>
              <w:spacing w:after="0" w:line="227" w:lineRule="exact"/>
              <w:rPr>
                <w:sz w:val="20"/>
                <w:szCs w:val="20"/>
                <w:color w:val="auto"/>
              </w:rPr>
            </w:pPr>
            <w:r>
              <w:rPr>
                <w:rFonts w:ascii="Arial" w:cs="Arial" w:eastAsia="Arial" w:hAnsi="Arial"/>
                <w:sz w:val="17"/>
                <w:szCs w:val="17"/>
                <w:color w:val="auto"/>
              </w:rPr>
              <w:t xml:space="preserve">Amount limited by restrictive covenants of credit facility </w:t>
            </w:r>
            <w:r>
              <w:rPr>
                <w:rFonts w:ascii="Arial" w:cs="Arial" w:eastAsia="Arial" w:hAnsi="Arial"/>
                <w:sz w:val="26"/>
                <w:szCs w:val="26"/>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682.1</w:t>
            </w:r>
          </w:p>
        </w:tc>
      </w:tr>
      <w:tr>
        <w:trPr>
          <w:trHeight w:val="246"/>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program available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060" w:right="160" w:hanging="168"/>
        <w:spacing w:after="0" w:line="198" w:lineRule="auto"/>
        <w:tabs>
          <w:tab w:leader="none" w:pos="1015" w:val="left"/>
        </w:tabs>
        <w:numPr>
          <w:ilvl w:val="0"/>
          <w:numId w:val="47"/>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Our borrowing capacity is limited by covenants in our credit facility. Reference is made to the discussion under </w:t>
      </w:r>
      <w:r>
        <w:rPr>
          <w:rFonts w:ascii="Arial" w:cs="Arial" w:eastAsia="Arial" w:hAnsi="Arial"/>
          <w:sz w:val="18"/>
          <w:szCs w:val="18"/>
          <w:u w:val="single" w:color="auto"/>
          <w:color w:val="0000FF"/>
        </w:rPr>
        <w:t>Credit Facility</w:t>
      </w:r>
      <w:r>
        <w:rPr>
          <w:rFonts w:ascii="Arial" w:cs="Arial" w:eastAsia="Arial" w:hAnsi="Arial"/>
          <w:sz w:val="18"/>
          <w:szCs w:val="18"/>
          <w:color w:val="auto"/>
        </w:rPr>
        <w:t xml:space="preserve"> on page 58 for more details about our borrowing capacity at December 31, 2025.</w:t>
      </w:r>
    </w:p>
    <w:p>
      <w:pPr>
        <w:spacing w:after="0" w:line="140"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The average and maximum amounts of commercial paper outstanding during 2025 were $292 million and $518 million, respectively. During the fourth quarter, the average and maximum amounts outstanding were $3 million and $26 million, respectively. At year end, we had no letters of credit outstanding under the credit facility,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but we had issued $93 million of stand-by letters of credit under other bank agreements to take advantage of better pricing.</w:t>
      </w:r>
    </w:p>
    <w:p>
      <w:pPr>
        <w:spacing w:after="0" w:line="101" w:lineRule="exact"/>
        <w:rPr>
          <w:sz w:val="20"/>
          <w:szCs w:val="20"/>
          <w:color w:val="auto"/>
        </w:rPr>
      </w:pPr>
    </w:p>
    <w:p>
      <w:pPr>
        <w:ind w:right="120" w:firstLine="402"/>
        <w:spacing w:after="0" w:line="257" w:lineRule="auto"/>
        <w:rPr>
          <w:sz w:val="20"/>
          <w:szCs w:val="20"/>
          <w:color w:val="auto"/>
        </w:rPr>
      </w:pPr>
      <w:r>
        <w:rPr>
          <w:rFonts w:ascii="Arial" w:cs="Arial" w:eastAsia="Arial" w:hAnsi="Arial"/>
          <w:sz w:val="18"/>
          <w:szCs w:val="18"/>
          <w:color w:val="auto"/>
        </w:rPr>
        <w:t xml:space="preserve">Over the long term, and subject to our credit ratings, market conditions, capital needs, and alternative capital market opportunities, we may borrow under the commercial paper program.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amended revolving credit facility maturing in July 2030 discussed below in </w:t>
      </w:r>
      <w:r>
        <w:rPr>
          <w:rFonts w:ascii="Arial" w:cs="Arial" w:eastAsia="Arial" w:hAnsi="Arial"/>
          <w:sz w:val="18"/>
          <w:szCs w:val="18"/>
          <w:u w:val="single" w:color="auto"/>
          <w:color w:val="0000FF"/>
        </w:rPr>
        <w:t>Credit Facility</w:t>
      </w:r>
      <w:r>
        <w:rPr>
          <w:rFonts w:ascii="Arial" w:cs="Arial" w:eastAsia="Arial" w:hAnsi="Arial"/>
          <w:sz w:val="18"/>
          <w:szCs w:val="18"/>
          <w:color w:val="auto"/>
        </w:rPr>
        <w:t>.</w:t>
      </w:r>
    </w:p>
    <w:p>
      <w:pPr>
        <w:spacing w:after="0" w:line="45"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The Company has multiple credit rating agencies that provide ratings of our short- and long-term debt. In the past, rating downgrades have resulted in, and could continue to result in, higher interest rates. Lower credit ratings could adversely affect our sources of borrowing and our financial arrangements, including access to the capital markets, commercial paper market, our lending agreements, and supply chain financing arrangements. If we are unable to meet our short-term borrowing needs in the commercial paper market, we may rely more heavily on bank debt to fund short-term working capital needs at higher interest costs.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Credit Facility</w:t>
      </w:r>
    </w:p>
    <w:p>
      <w:pPr>
        <w:spacing w:after="0" w:line="102" w:lineRule="exact"/>
        <w:rPr>
          <w:sz w:val="20"/>
          <w:szCs w:val="20"/>
          <w:color w:val="auto"/>
        </w:rPr>
      </w:pPr>
    </w:p>
    <w:p>
      <w:pPr>
        <w:ind w:right="320" w:firstLine="402"/>
        <w:spacing w:after="0" w:line="259" w:lineRule="auto"/>
        <w:rPr>
          <w:sz w:val="20"/>
          <w:szCs w:val="20"/>
          <w:color w:val="auto"/>
        </w:rPr>
      </w:pPr>
      <w:r>
        <w:rPr>
          <w:rFonts w:ascii="Arial" w:cs="Arial" w:eastAsia="Arial" w:hAnsi="Arial"/>
          <w:sz w:val="18"/>
          <w:szCs w:val="18"/>
          <w:color w:val="auto"/>
        </w:rPr>
        <w:t>Our multi-currency credit facility was amended in July 2025 and matures on July 24, 2030. It provides us the ability, from time to time, subject to certain restrictive covenants and customary conditions, to borrow, repay, and re-borrow up to $1.0 billion (previous to the amendment was $1.2 billion). At December 31, 2025, we were in compliance with all of our debt covenants. Capitalized terms used in this section but not defined herein have the meanings set forth in the Credit Agreement.</w:t>
      </w:r>
    </w:p>
    <w:p>
      <w:pPr>
        <w:spacing w:after="0" w:line="45" w:lineRule="exact"/>
        <w:rPr>
          <w:sz w:val="20"/>
          <w:szCs w:val="20"/>
          <w:color w:val="auto"/>
        </w:rPr>
      </w:pPr>
    </w:p>
    <w:p>
      <w:pPr>
        <w:ind w:right="60" w:firstLine="402"/>
        <w:spacing w:after="0" w:line="269" w:lineRule="auto"/>
        <w:rPr>
          <w:sz w:val="20"/>
          <w:szCs w:val="20"/>
          <w:color w:val="auto"/>
        </w:rPr>
      </w:pPr>
      <w:r>
        <w:rPr>
          <w:rFonts w:ascii="Arial" w:cs="Arial" w:eastAsia="Arial" w:hAnsi="Arial"/>
          <w:sz w:val="17"/>
          <w:szCs w:val="17"/>
          <w:color w:val="auto"/>
        </w:rPr>
        <w:t>Our credit facility contains restrictive covenants, which include: (a) a Leverage Ratio requiring us to maintain, as of the last day of each fiscal quarter, (i) Consolidated Funded Indebtedness minus the lesser of: (A) Unrestricted Cash, or (B) $750.0 million to (ii) Consolidated EBITDA for the four consecutive trailing quarters most recently ended on or prior to such date, such ratio not being greater than 3.50 to 1.00; provided however, subject to certain limitations, if we make a Material Acquisition, at our election, the maximum Leverage Ratio shall be 4.00 to 1.00 for the fiscal quarter during which such Material Acquisition is consummated and the next three consecutive fiscal quarters; (b) a limitation of the amount of total secured obligations to 15% of our total consolidated assets; and (c) a limitation on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For more information about long-term debt, please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101" w:lineRule="exact"/>
        <w:rPr>
          <w:sz w:val="20"/>
          <w:szCs w:val="20"/>
          <w:color w:val="auto"/>
        </w:rPr>
      </w:pPr>
    </w:p>
    <w:p>
      <w:pPr>
        <w:ind w:right="160" w:firstLine="402"/>
        <w:spacing w:after="0" w:line="255" w:lineRule="auto"/>
        <w:rPr>
          <w:sz w:val="20"/>
          <w:szCs w:val="20"/>
          <w:color w:val="auto"/>
        </w:rPr>
      </w:pPr>
      <w:r>
        <w:rPr>
          <w:rFonts w:ascii="Arial" w:cs="Arial" w:eastAsia="Arial" w:hAnsi="Arial"/>
          <w:sz w:val="18"/>
          <w:szCs w:val="18"/>
          <w:color w:val="auto"/>
        </w:rPr>
        <w:t>Our credit facility serves as back-up for our commercial paper program. At December 31, 2025, we had no outstanding commercial paper and no borrowing under the credit facility. As our trailing 12-month Consolidated EBITDA, Unrestricted Cash, and debt levels change, our borrowing capacity increases or decreases. Based on our trailing 12-month Consolidated EBITDA, Unrestricted Cash, leverage ratio covenant of 3.50 to 1.00, and debt levels at December 31, 2025, our borrowing capacity under the credit facility was $709 million. However, this may not be indicative of the actual borrowing capacity moving forward, which may be materially different depending on our Consolidated EBITDA, Unrestricted Cash, and debt levels.</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Long-Term Debt</w:t>
      </w:r>
    </w:p>
    <w:p>
      <w:pPr>
        <w:spacing w:after="0" w:line="102" w:lineRule="exact"/>
        <w:rPr>
          <w:sz w:val="20"/>
          <w:szCs w:val="20"/>
          <w:color w:val="auto"/>
        </w:rPr>
      </w:pPr>
    </w:p>
    <w:p>
      <w:pPr>
        <w:jc w:val="both"/>
        <w:ind w:right="300" w:firstLine="402"/>
        <w:spacing w:after="0" w:line="259" w:lineRule="auto"/>
        <w:rPr>
          <w:sz w:val="20"/>
          <w:szCs w:val="20"/>
          <w:color w:val="auto"/>
        </w:rPr>
      </w:pPr>
      <w:r>
        <w:rPr>
          <w:rFonts w:ascii="Arial" w:cs="Arial" w:eastAsia="Arial" w:hAnsi="Arial"/>
          <w:sz w:val="18"/>
          <w:szCs w:val="18"/>
          <w:color w:val="auto"/>
        </w:rPr>
        <w:t xml:space="preserve">Currently, we have $1.5 billion of total debt outstanding in equal tranches maturing in 2027, 2029, and 2051. We had no commercial paper borrowings at December 31, 2025. We anticipate lower average commercial paper borrowings in 2026 compared to 2025, and as a result, we expect to realize lower net interest expense in 2026. For more details on long-term debt, 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on page 101 of the Notes to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CRITICAL ACCOUNTING POLICIES AND ESTIMATES</w:t>
      </w:r>
    </w:p>
    <w:p>
      <w:pPr>
        <w:spacing w:after="0" w:line="115"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To do so, we must make estimates and judgments that affect the reported amounts of assets, liabilities, revenues, expenses, and disclosures. If we used different estimates or judgments, our financial statements could change. Some of these changes could be significant. Our estimates are considered by management, at the time they are made, to be reasonable and appropriate. Estimates are adjusted for actual events as they occur.</w:t>
      </w:r>
    </w:p>
    <w:p>
      <w:pPr>
        <w:spacing w:after="0" w:line="58" w:lineRule="exact"/>
        <w:rPr>
          <w:sz w:val="20"/>
          <w:szCs w:val="20"/>
          <w:color w:val="auto"/>
        </w:rPr>
      </w:pPr>
    </w:p>
    <w:p>
      <w:pPr>
        <w:ind w:right="800" w:firstLine="402"/>
        <w:spacing w:after="0" w:line="265" w:lineRule="auto"/>
        <w:rPr>
          <w:sz w:val="20"/>
          <w:szCs w:val="20"/>
          <w:color w:val="auto"/>
        </w:rPr>
      </w:pPr>
      <w:r>
        <w:rPr>
          <w:rFonts w:ascii="Arial" w:cs="Arial" w:eastAsia="Arial" w:hAnsi="Arial"/>
          <w:sz w:val="18"/>
          <w:szCs w:val="18"/>
          <w:color w:val="auto"/>
        </w:rPr>
        <w:t>Critical accounting estimates are those that are: (a) subject to uncertainty and change and (b) of material impact to our financial statements. Listed below are the estimates and judgments which we believe could have the most significant effect on our financial statements.</w:t>
      </w:r>
    </w:p>
    <w:p>
      <w:pPr>
        <w:spacing w:after="0" w:line="38" w:lineRule="exact"/>
        <w:rPr>
          <w:sz w:val="20"/>
          <w:szCs w:val="20"/>
          <w:color w:val="auto"/>
        </w:rPr>
      </w:pPr>
    </w:p>
    <w:p>
      <w:pPr>
        <w:ind w:right="260" w:firstLine="402"/>
        <w:spacing w:after="0" w:line="282" w:lineRule="auto"/>
        <w:rPr>
          <w:sz w:val="20"/>
          <w:szCs w:val="20"/>
          <w:color w:val="auto"/>
        </w:rPr>
      </w:pPr>
      <w:r>
        <w:rPr>
          <w:rFonts w:ascii="Arial" w:cs="Arial" w:eastAsia="Arial" w:hAnsi="Arial"/>
          <w:sz w:val="18"/>
          <w:szCs w:val="18"/>
          <w:color w:val="auto"/>
        </w:rPr>
        <w:t xml:space="preserve">We provide additional details regarding our significant accounting policies in </w:t>
      </w:r>
      <w:r>
        <w:rPr>
          <w:rFonts w:ascii="Arial" w:cs="Arial" w:eastAsia="Arial" w:hAnsi="Arial"/>
          <w:sz w:val="18"/>
          <w:szCs w:val="18"/>
          <w:u w:val="single" w:color="auto"/>
          <w:color w:val="0000FF"/>
        </w:rPr>
        <w:t>Note A</w:t>
      </w:r>
      <w:r>
        <w:rPr>
          <w:rFonts w:ascii="Arial" w:cs="Arial" w:eastAsia="Arial" w:hAnsi="Arial"/>
          <w:sz w:val="18"/>
          <w:szCs w:val="18"/>
          <w:color w:val="auto"/>
        </w:rPr>
        <w:t xml:space="preserve"> on page 81 of the Notes to Consolidated Financial Statements.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gridSpan w:val="9"/>
          </w:tcPr>
          <w:p>
            <w:pPr>
              <w:ind w:left="20"/>
              <w:spacing w:after="0" w:line="188"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gridSpan w:val="3"/>
            <w:vMerge w:val="continue"/>
          </w:tcPr>
          <w:p>
            <w:pPr>
              <w:spacing w:after="0"/>
              <w:rPr>
                <w:sz w:val="20"/>
                <w:szCs w:val="20"/>
                <w:color w:val="auto"/>
              </w:rPr>
            </w:pPr>
          </w:p>
        </w:tc>
        <w:tc>
          <w:tcPr>
            <w:tcW w:w="3880" w:type="dxa"/>
            <w:vAlign w:val="bottom"/>
            <w:tcBorders>
              <w:bottom w:val="single" w:sz="8" w:color="auto"/>
              <w:right w:val="single" w:sz="8" w:color="auto"/>
            </w:tcBorders>
            <w:gridSpan w:val="9"/>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Goodwill</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Goodwill is assessed for impairment</w:t>
            </w: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Goodwill is evaluated using a quantitative</w:t>
            </w:r>
          </w:p>
        </w:tc>
        <w:tc>
          <w:tcPr>
            <w:tcW w:w="3880" w:type="dxa"/>
            <w:vAlign w:val="bottom"/>
            <w:tcBorders>
              <w:right w:val="single" w:sz="8" w:color="auto"/>
            </w:tcBorders>
            <w:gridSpan w:val="9"/>
          </w:tcPr>
          <w:p>
            <w:pPr>
              <w:ind w:left="20"/>
              <w:spacing w:after="0" w:line="180" w:lineRule="exact"/>
              <w:rPr>
                <w:sz w:val="20"/>
                <w:szCs w:val="20"/>
                <w:color w:val="auto"/>
              </w:rPr>
            </w:pPr>
            <w:r>
              <w:rPr>
                <w:rFonts w:ascii="Arial" w:cs="Arial" w:eastAsia="Arial" w:hAnsi="Arial"/>
                <w:sz w:val="18"/>
                <w:szCs w:val="18"/>
                <w:color w:val="auto"/>
              </w:rPr>
              <w:t>We had no goodwill impairments in 2025 and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annually as of June 30 and as triggering</w:t>
            </w: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analysis at the reporting unit level, which is</w:t>
            </w:r>
          </w:p>
        </w:tc>
        <w:tc>
          <w:tcPr>
            <w:tcW w:w="3880" w:type="dxa"/>
            <w:vAlign w:val="bottom"/>
            <w:tcBorders>
              <w:right w:val="single" w:sz="8" w:color="auto"/>
            </w:tcBorders>
            <w:gridSpan w:val="9"/>
          </w:tcPr>
          <w:p>
            <w:pPr>
              <w:ind w:left="20"/>
              <w:spacing w:after="0" w:line="175" w:lineRule="exact"/>
              <w:rPr>
                <w:sz w:val="20"/>
                <w:szCs w:val="20"/>
                <w:color w:val="auto"/>
              </w:rPr>
            </w:pPr>
            <w:r>
              <w:rPr>
                <w:rFonts w:ascii="Arial" w:cs="Arial" w:eastAsia="Arial" w:hAnsi="Arial"/>
                <w:sz w:val="18"/>
                <w:szCs w:val="18"/>
                <w:color w:val="auto"/>
              </w:rPr>
              <w:t>2023. In 2024, we had total goodwill</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events occur.</w:t>
            </w:r>
          </w:p>
        </w:tc>
        <w:tc>
          <w:tcPr>
            <w:tcW w:w="3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one level below our operating segments.</w:t>
            </w:r>
          </w:p>
        </w:tc>
        <w:tc>
          <w:tcPr>
            <w:tcW w:w="388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rPr>
              <w:t>impairments of $676 million.</w:t>
            </w:r>
          </w:p>
        </w:tc>
        <w:tc>
          <w:tcPr>
            <w:tcW w:w="0" w:type="dxa"/>
            <w:vAlign w:val="bottom"/>
          </w:tcPr>
          <w:p>
            <w:pPr>
              <w:spacing w:after="0"/>
              <w:rPr>
                <w:sz w:val="1"/>
                <w:szCs w:val="1"/>
                <w:color w:val="auto"/>
              </w:rPr>
            </w:pPr>
          </w:p>
        </w:tc>
      </w:tr>
      <w:tr>
        <w:trPr>
          <w:trHeight w:val="368"/>
        </w:trPr>
        <w:tc>
          <w:tcPr>
            <w:tcW w:w="364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Judgment is required in the quantitative</w:t>
            </w:r>
          </w:p>
        </w:tc>
        <w:tc>
          <w:tcPr>
            <w:tcW w:w="3880" w:type="dxa"/>
            <w:vAlign w:val="bottom"/>
            <w:tcBorders>
              <w:right w:val="single" w:sz="8" w:color="auto"/>
            </w:tcBorders>
            <w:gridSpan w:val="9"/>
          </w:tcPr>
          <w:p>
            <w:pPr>
              <w:ind w:left="20"/>
              <w:spacing w:after="0"/>
              <w:rPr>
                <w:sz w:val="20"/>
                <w:szCs w:val="20"/>
                <w:color w:val="auto"/>
              </w:rPr>
            </w:pPr>
            <w:r>
              <w:rPr>
                <w:rFonts w:ascii="Arial" w:cs="Arial" w:eastAsia="Arial" w:hAnsi="Arial"/>
                <w:sz w:val="18"/>
                <w:szCs w:val="18"/>
                <w:color w:val="auto"/>
              </w:rPr>
              <w:t>All reporting units had fair values in excess of</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analysis. We estimate fair value using a</w:t>
            </w:r>
          </w:p>
        </w:tc>
        <w:tc>
          <w:tcPr>
            <w:tcW w:w="3880" w:type="dxa"/>
            <w:vAlign w:val="bottom"/>
            <w:tcBorders>
              <w:right w:val="single" w:sz="8" w:color="auto"/>
            </w:tcBorders>
            <w:gridSpan w:val="9"/>
          </w:tcPr>
          <w:p>
            <w:pPr>
              <w:ind w:left="20"/>
              <w:spacing w:after="0" w:line="175" w:lineRule="exact"/>
              <w:rPr>
                <w:sz w:val="20"/>
                <w:szCs w:val="20"/>
                <w:color w:val="auto"/>
              </w:rPr>
            </w:pPr>
            <w:r>
              <w:rPr>
                <w:rFonts w:ascii="Arial" w:cs="Arial" w:eastAsia="Arial" w:hAnsi="Arial"/>
                <w:sz w:val="18"/>
                <w:szCs w:val="18"/>
                <w:color w:val="auto"/>
              </w:rPr>
              <w:t>carrying value of less than 100% in 2025 as</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gridSpan w:val="3"/>
          </w:tcPr>
          <w:p>
            <w:pPr>
              <w:spacing w:after="0" w:line="188" w:lineRule="exact"/>
              <w:rPr>
                <w:sz w:val="20"/>
                <w:szCs w:val="20"/>
                <w:color w:val="auto"/>
              </w:rPr>
            </w:pPr>
            <w:r>
              <w:rPr>
                <w:rFonts w:ascii="Arial" w:cs="Arial" w:eastAsia="Arial" w:hAnsi="Arial"/>
                <w:sz w:val="18"/>
                <w:szCs w:val="18"/>
                <w:color w:val="auto"/>
              </w:rPr>
              <w:t>combination of:</w:t>
            </w:r>
          </w:p>
        </w:tc>
        <w:tc>
          <w:tcPr>
            <w:tcW w:w="3880" w:type="dxa"/>
            <w:vAlign w:val="bottom"/>
            <w:tcBorders>
              <w:right w:val="single" w:sz="8" w:color="auto"/>
            </w:tcBorders>
            <w:gridSpan w:val="9"/>
          </w:tcPr>
          <w:p>
            <w:pPr>
              <w:ind w:left="20"/>
              <w:spacing w:after="0" w:line="188" w:lineRule="exact"/>
              <w:rPr>
                <w:sz w:val="20"/>
                <w:szCs w:val="20"/>
                <w:color w:val="auto"/>
              </w:rPr>
            </w:pPr>
            <w:r>
              <w:rPr>
                <w:rFonts w:ascii="Arial" w:cs="Arial" w:eastAsia="Arial" w:hAnsi="Arial"/>
                <w:sz w:val="18"/>
                <w:szCs w:val="18"/>
                <w:color w:val="auto"/>
              </w:rPr>
              <w:t xml:space="preserve">discussed in </w:t>
            </w:r>
            <w:r>
              <w:rPr>
                <w:rFonts w:ascii="Arial" w:cs="Arial" w:eastAsia="Arial" w:hAnsi="Arial"/>
                <w:sz w:val="18"/>
                <w:szCs w:val="18"/>
                <w:color w:val="0000FF"/>
              </w:rPr>
              <w:t>Note F</w:t>
            </w:r>
            <w:r>
              <w:rPr>
                <w:rFonts w:ascii="Arial" w:cs="Arial" w:eastAsia="Arial" w:hAnsi="Arial"/>
                <w:sz w:val="18"/>
                <w:szCs w:val="18"/>
                <w:color w:val="auto"/>
              </w:rPr>
              <w:t xml:space="preserve"> on page 97 of the Notes to</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Borders>
              <w:right w:val="single" w:sz="8" w:color="auto"/>
            </w:tcBorders>
          </w:tcPr>
          <w:p>
            <w:pPr>
              <w:spacing w:after="0" w:line="20" w:lineRule="exact"/>
              <w:rPr>
                <w:sz w:val="1"/>
                <w:szCs w:val="1"/>
                <w:color w:val="auto"/>
              </w:rPr>
            </w:pPr>
          </w:p>
        </w:tc>
        <w:tc>
          <w:tcPr>
            <w:tcW w:w="1060" w:type="dxa"/>
            <w:vAlign w:val="bottom"/>
            <w:gridSpan w:val="3"/>
            <w:vMerge w:val="restart"/>
          </w:tcPr>
          <w:p>
            <w:pPr>
              <w:ind w:left="20"/>
              <w:spacing w:after="0" w:line="175" w:lineRule="exact"/>
              <w:rPr>
                <w:sz w:val="20"/>
                <w:szCs w:val="20"/>
                <w:color w:val="auto"/>
              </w:rPr>
            </w:pPr>
            <w:r>
              <w:rPr>
                <w:rFonts w:ascii="Arial" w:cs="Arial" w:eastAsia="Arial" w:hAnsi="Arial"/>
                <w:sz w:val="18"/>
                <w:szCs w:val="18"/>
                <w:color w:val="auto"/>
                <w:w w:val="97"/>
              </w:rPr>
              <w:t>Consolidated</w:t>
            </w: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Borders>
              <w:right w:val="single" w:sz="8" w:color="auto"/>
            </w:tcBorders>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820" w:type="dxa"/>
            <w:vAlign w:val="bottom"/>
            <w:tcBorders>
              <w:right w:val="single" w:sz="8" w:color="auto"/>
            </w:tcBorders>
            <w:gridSpan w:val="6"/>
          </w:tcPr>
          <w:p>
            <w:pPr>
              <w:ind w:left="60"/>
              <w:spacing w:after="0" w:line="154" w:lineRule="exact"/>
              <w:rPr>
                <w:sz w:val="20"/>
                <w:szCs w:val="20"/>
                <w:color w:val="auto"/>
              </w:rPr>
            </w:pPr>
            <w:r>
              <w:rPr>
                <w:rFonts w:ascii="Arial" w:cs="Arial" w:eastAsia="Arial" w:hAnsi="Arial"/>
                <w:sz w:val="17"/>
                <w:szCs w:val="17"/>
                <w:color w:val="auto"/>
              </w:rPr>
              <w:t>Financial Statements. At</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(a) A discounted cash flow model that</w:t>
            </w:r>
          </w:p>
        </w:tc>
        <w:tc>
          <w:tcPr>
            <w:tcW w:w="3880" w:type="dxa"/>
            <w:vAlign w:val="bottom"/>
            <w:tcBorders>
              <w:right w:val="single" w:sz="8" w:color="auto"/>
            </w:tcBorders>
            <w:gridSpan w:val="9"/>
          </w:tcPr>
          <w:p>
            <w:pPr>
              <w:ind w:left="20"/>
              <w:spacing w:after="0" w:line="175" w:lineRule="exact"/>
              <w:rPr>
                <w:sz w:val="20"/>
                <w:szCs w:val="20"/>
                <w:color w:val="auto"/>
              </w:rPr>
            </w:pPr>
            <w:r>
              <w:rPr>
                <w:rFonts w:ascii="Arial" w:cs="Arial" w:eastAsia="Arial" w:hAnsi="Arial"/>
                <w:sz w:val="18"/>
                <w:szCs w:val="18"/>
                <w:color w:val="auto"/>
              </w:rPr>
              <w:t>December 31, 2025, we had $751 million of</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gridSpan w:val="3"/>
            <w:vMerge w:val="continue"/>
          </w:tcPr>
          <w:p>
            <w:pPr>
              <w:spacing w:after="0"/>
              <w:rPr>
                <w:sz w:val="5"/>
                <w:szCs w:val="5"/>
                <w:color w:val="auto"/>
              </w:rPr>
            </w:pPr>
          </w:p>
        </w:tc>
        <w:tc>
          <w:tcPr>
            <w:tcW w:w="388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contains uncertainties related to the</w:t>
            </w:r>
          </w:p>
        </w:tc>
        <w:tc>
          <w:tcPr>
            <w:tcW w:w="3880" w:type="dxa"/>
            <w:vAlign w:val="bottom"/>
            <w:tcBorders>
              <w:right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forecast of future results, as many outside</w:t>
            </w:r>
          </w:p>
        </w:tc>
        <w:tc>
          <w:tcPr>
            <w:tcW w:w="388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rPr>
              <w:t>Information regarding material assumptions</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economic and competitive factors can</w:t>
            </w:r>
          </w:p>
        </w:tc>
        <w:tc>
          <w:tcPr>
            <w:tcW w:w="3880" w:type="dxa"/>
            <w:vAlign w:val="bottom"/>
            <w:tcBorders>
              <w:right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influence future performance as discussed</w:t>
            </w:r>
          </w:p>
        </w:tc>
        <w:tc>
          <w:tcPr>
            <w:tcW w:w="3880" w:type="dxa"/>
            <w:vAlign w:val="bottom"/>
            <w:tcBorders>
              <w:right w:val="single" w:sz="8" w:color="auto"/>
            </w:tcBorders>
            <w:gridSpan w:val="9"/>
          </w:tcPr>
          <w:p>
            <w:pPr>
              <w:ind w:left="20"/>
              <w:spacing w:after="0" w:line="175" w:lineRule="exact"/>
              <w:rPr>
                <w:sz w:val="20"/>
                <w:szCs w:val="20"/>
                <w:color w:val="auto"/>
              </w:rPr>
            </w:pPr>
            <w:r>
              <w:rPr>
                <w:rFonts w:ascii="Arial" w:cs="Arial" w:eastAsia="Arial" w:hAnsi="Arial"/>
                <w:sz w:val="18"/>
                <w:szCs w:val="18"/>
                <w:color w:val="auto"/>
              </w:rPr>
              <w:t>used to determine if a goodwill impairment</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gridSpan w:val="3"/>
          </w:tcPr>
          <w:p>
            <w:pPr>
              <w:spacing w:after="0" w:line="188" w:lineRule="exact"/>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0000FF"/>
              </w:rPr>
              <w:t>Note A</w:t>
            </w:r>
            <w:r>
              <w:rPr>
                <w:rFonts w:ascii="Arial" w:cs="Arial" w:eastAsia="Arial" w:hAnsi="Arial"/>
                <w:sz w:val="18"/>
                <w:szCs w:val="18"/>
                <w:color w:val="auto"/>
              </w:rPr>
              <w:t xml:space="preserve"> on page 81 of the Notes to</w:t>
            </w:r>
          </w:p>
        </w:tc>
        <w:tc>
          <w:tcPr>
            <w:tcW w:w="3880" w:type="dxa"/>
            <w:vAlign w:val="bottom"/>
            <w:tcBorders>
              <w:right w:val="single" w:sz="8" w:color="auto"/>
            </w:tcBorders>
            <w:gridSpan w:val="9"/>
          </w:tcPr>
          <w:p>
            <w:pPr>
              <w:ind w:left="20"/>
              <w:spacing w:after="0" w:line="188" w:lineRule="exact"/>
              <w:rPr>
                <w:sz w:val="20"/>
                <w:szCs w:val="20"/>
                <w:color w:val="auto"/>
              </w:rPr>
            </w:pPr>
            <w:r>
              <w:rPr>
                <w:rFonts w:ascii="Arial" w:cs="Arial" w:eastAsia="Arial" w:hAnsi="Arial"/>
                <w:sz w:val="18"/>
                <w:szCs w:val="18"/>
                <w:color w:val="auto"/>
              </w:rPr>
              <w:t xml:space="preserve">exists can be found in </w:t>
            </w:r>
            <w:r>
              <w:rPr>
                <w:rFonts w:ascii="Arial" w:cs="Arial" w:eastAsia="Arial" w:hAnsi="Arial"/>
                <w:sz w:val="18"/>
                <w:szCs w:val="18"/>
                <w:color w:val="0000FF"/>
              </w:rPr>
              <w:t>Note A</w:t>
            </w:r>
            <w:r>
              <w:rPr>
                <w:rFonts w:ascii="Arial" w:cs="Arial" w:eastAsia="Arial" w:hAnsi="Arial"/>
                <w:sz w:val="18"/>
                <w:szCs w:val="18"/>
                <w:color w:val="auto"/>
              </w:rPr>
              <w:t xml:space="preserve"> on page 81 and</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0" w:type="dxa"/>
            <w:vAlign w:val="bottom"/>
            <w:tcBorders>
              <w:right w:val="single" w:sz="8" w:color="auto"/>
            </w:tcBorders>
          </w:tcPr>
          <w:p>
            <w:pPr>
              <w:spacing w:after="0" w:line="20" w:lineRule="exact"/>
              <w:rPr>
                <w:sz w:val="1"/>
                <w:szCs w:val="1"/>
                <w:color w:val="auto"/>
              </w:rPr>
            </w:pPr>
          </w:p>
        </w:tc>
        <w:tc>
          <w:tcPr>
            <w:tcW w:w="1800" w:type="dxa"/>
            <w:vAlign w:val="bottom"/>
            <w:gridSpan w:val="6"/>
            <w:vMerge w:val="restart"/>
          </w:tcPr>
          <w:p>
            <w:pPr>
              <w:ind w:left="20"/>
              <w:spacing w:after="0" w:line="188" w:lineRule="exact"/>
              <w:rPr>
                <w:sz w:val="20"/>
                <w:szCs w:val="20"/>
                <w:color w:val="auto"/>
              </w:rPr>
            </w:pPr>
            <w:r>
              <w:rPr>
                <w:rFonts w:ascii="Arial" w:cs="Arial" w:eastAsia="Arial" w:hAnsi="Arial"/>
                <w:sz w:val="18"/>
                <w:szCs w:val="18"/>
                <w:color w:val="0000FF"/>
              </w:rPr>
              <w:t xml:space="preserve">Note F </w:t>
            </w:r>
            <w:r>
              <w:rPr>
                <w:rFonts w:ascii="Arial" w:cs="Arial" w:eastAsia="Arial" w:hAnsi="Arial"/>
                <w:sz w:val="18"/>
                <w:szCs w:val="18"/>
                <w:color w:val="000000"/>
              </w:rPr>
              <w:t>on page 97 of</w:t>
            </w:r>
          </w:p>
        </w:tc>
        <w:tc>
          <w:tcPr>
            <w:tcW w:w="5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40" w:type="dxa"/>
            <w:vAlign w:val="bottom"/>
            <w:tcBorders>
              <w:left w:val="single" w:sz="8" w:color="auto"/>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3540" w:type="dxa"/>
            <w:vAlign w:val="bottom"/>
            <w:tcBorders>
              <w:right w:val="single" w:sz="8" w:color="auto"/>
            </w:tcBorders>
            <w:gridSpan w:val="2"/>
          </w:tcPr>
          <w:p>
            <w:pPr>
              <w:spacing w:after="0" w:line="168" w:lineRule="exact"/>
              <w:rPr>
                <w:sz w:val="20"/>
                <w:szCs w:val="20"/>
                <w:color w:val="auto"/>
              </w:rPr>
            </w:pPr>
            <w:r>
              <w:rPr>
                <w:rFonts w:ascii="Arial" w:cs="Arial" w:eastAsia="Arial" w:hAnsi="Arial"/>
                <w:sz w:val="18"/>
                <w:szCs w:val="18"/>
                <w:color w:val="auto"/>
              </w:rPr>
              <w:t>Consolidated Financial Statements.</w:t>
            </w:r>
          </w:p>
        </w:tc>
        <w:tc>
          <w:tcPr>
            <w:tcW w:w="1800" w:type="dxa"/>
            <w:vAlign w:val="bottom"/>
            <w:gridSpan w:val="6"/>
            <w:vMerge w:val="continue"/>
          </w:tcPr>
          <w:p>
            <w:pPr>
              <w:spacing w:after="0"/>
              <w:rPr>
                <w:sz w:val="14"/>
                <w:szCs w:val="14"/>
                <w:color w:val="auto"/>
              </w:rPr>
            </w:pPr>
          </w:p>
        </w:tc>
        <w:tc>
          <w:tcPr>
            <w:tcW w:w="2080" w:type="dxa"/>
            <w:vAlign w:val="bottom"/>
            <w:tcBorders>
              <w:right w:val="single" w:sz="8" w:color="auto"/>
            </w:tcBorders>
            <w:gridSpan w:val="3"/>
          </w:tcPr>
          <w:p>
            <w:pPr>
              <w:spacing w:after="0" w:line="168" w:lineRule="exact"/>
              <w:rPr>
                <w:sz w:val="20"/>
                <w:szCs w:val="20"/>
                <w:color w:val="auto"/>
              </w:rPr>
            </w:pPr>
            <w:r>
              <w:rPr>
                <w:rFonts w:ascii="Arial" w:cs="Arial" w:eastAsia="Arial" w:hAnsi="Arial"/>
                <w:sz w:val="18"/>
                <w:szCs w:val="18"/>
                <w:color w:val="auto"/>
                <w:w w:val="98"/>
              </w:rPr>
              <w:t>the Notes to Consolidated</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Borders>
              <w:righ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tcBorders>
              <w:right w:val="single" w:sz="8" w:color="auto"/>
            </w:tcBorders>
          </w:tcPr>
          <w:p>
            <w:pPr>
              <w:spacing w:after="0"/>
              <w:rPr>
                <w:sz w:val="17"/>
                <w:szCs w:val="17"/>
                <w:color w:val="auto"/>
              </w:rPr>
            </w:pPr>
          </w:p>
        </w:tc>
        <w:tc>
          <w:tcPr>
            <w:tcW w:w="20" w:type="dxa"/>
            <w:vAlign w:val="bottom"/>
            <w:vMerge w:val="continue"/>
          </w:tcPr>
          <w:p>
            <w:pPr>
              <w:spacing w:after="0"/>
              <w:rPr>
                <w:sz w:val="17"/>
                <w:szCs w:val="17"/>
                <w:color w:val="auto"/>
              </w:rPr>
            </w:pPr>
          </w:p>
        </w:tc>
        <w:tc>
          <w:tcPr>
            <w:tcW w:w="3860" w:type="dxa"/>
            <w:vAlign w:val="bottom"/>
            <w:tcBorders>
              <w:right w:val="single" w:sz="8" w:color="auto"/>
            </w:tcBorders>
            <w:gridSpan w:val="8"/>
          </w:tcPr>
          <w:p>
            <w:pPr>
              <w:spacing w:after="0" w:line="202" w:lineRule="exact"/>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(b) A market approach, using price to</w:t>
            </w:r>
          </w:p>
        </w:tc>
        <w:tc>
          <w:tcPr>
            <w:tcW w:w="3880" w:type="dxa"/>
            <w:vAlign w:val="bottom"/>
            <w:tcBorders>
              <w:right w:val="single" w:sz="8" w:color="auto"/>
            </w:tcBorders>
            <w:gridSpan w:val="9"/>
            <w:vMerge w:val="restart"/>
          </w:tcPr>
          <w:p>
            <w:pPr>
              <w:ind w:left="20"/>
              <w:spacing w:after="0"/>
              <w:rPr>
                <w:sz w:val="20"/>
                <w:szCs w:val="20"/>
                <w:color w:val="auto"/>
              </w:rPr>
            </w:pPr>
            <w:r>
              <w:rPr>
                <w:rFonts w:ascii="Arial" w:cs="Arial" w:eastAsia="Arial" w:hAnsi="Arial"/>
                <w:sz w:val="18"/>
                <w:szCs w:val="18"/>
                <w:color w:val="auto"/>
              </w:rPr>
              <w:t>Our assumptions are based on our current</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earnings ratios for comparable publicly</w:t>
            </w:r>
          </w:p>
        </w:tc>
        <w:tc>
          <w:tcPr>
            <w:tcW w:w="3880" w:type="dxa"/>
            <w:vAlign w:val="bottom"/>
            <w:tcBorders>
              <w:right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0" w:lineRule="exact"/>
              <w:rPr>
                <w:sz w:val="20"/>
                <w:szCs w:val="20"/>
                <w:color w:val="auto"/>
              </w:rPr>
            </w:pPr>
            <w:r>
              <w:rPr>
                <w:rFonts w:ascii="Arial" w:cs="Arial" w:eastAsia="Arial" w:hAnsi="Arial"/>
                <w:sz w:val="18"/>
                <w:szCs w:val="18"/>
                <w:color w:val="auto"/>
              </w:rPr>
              <w:t>traded companies that operate in the same</w:t>
            </w:r>
          </w:p>
        </w:tc>
        <w:tc>
          <w:tcPr>
            <w:tcW w:w="3880" w:type="dxa"/>
            <w:vAlign w:val="bottom"/>
            <w:tcBorders>
              <w:right w:val="single" w:sz="8" w:color="auto"/>
            </w:tcBorders>
            <w:gridSpan w:val="9"/>
          </w:tcPr>
          <w:p>
            <w:pPr>
              <w:ind w:left="20"/>
              <w:spacing w:after="0" w:line="180" w:lineRule="exact"/>
              <w:rPr>
                <w:sz w:val="20"/>
                <w:szCs w:val="20"/>
                <w:color w:val="auto"/>
              </w:rPr>
            </w:pPr>
            <w:r>
              <w:rPr>
                <w:rFonts w:ascii="Arial" w:cs="Arial" w:eastAsia="Arial" w:hAnsi="Arial"/>
                <w:sz w:val="18"/>
                <w:szCs w:val="18"/>
                <w:color w:val="auto"/>
                <w:w w:val="99"/>
              </w:rPr>
              <w:t>business strategy in light of present industry and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75" w:lineRule="exact"/>
              <w:rPr>
                <w:sz w:val="20"/>
                <w:szCs w:val="20"/>
                <w:color w:val="auto"/>
              </w:rPr>
            </w:pPr>
            <w:r>
              <w:rPr>
                <w:rFonts w:ascii="Arial" w:cs="Arial" w:eastAsia="Arial" w:hAnsi="Arial"/>
                <w:sz w:val="18"/>
                <w:szCs w:val="18"/>
                <w:color w:val="auto"/>
              </w:rPr>
              <w:t>or similar industry and with characteristics</w:t>
            </w:r>
          </w:p>
        </w:tc>
        <w:tc>
          <w:tcPr>
            <w:tcW w:w="3880" w:type="dxa"/>
            <w:vAlign w:val="bottom"/>
            <w:tcBorders>
              <w:right w:val="single" w:sz="8" w:color="auto"/>
            </w:tcBorders>
            <w:gridSpan w:val="9"/>
          </w:tcPr>
          <w:p>
            <w:pPr>
              <w:ind w:left="20"/>
              <w:spacing w:after="0" w:line="175" w:lineRule="exact"/>
              <w:rPr>
                <w:sz w:val="20"/>
                <w:szCs w:val="20"/>
                <w:color w:val="auto"/>
              </w:rPr>
            </w:pPr>
            <w:r>
              <w:rPr>
                <w:rFonts w:ascii="Arial" w:cs="Arial" w:eastAsia="Arial" w:hAnsi="Arial"/>
                <w:sz w:val="18"/>
                <w:szCs w:val="18"/>
                <w:color w:val="auto"/>
              </w:rPr>
              <w:t>economic conditions, as well as future</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similar to the reporting unit.</w:t>
            </w:r>
          </w:p>
        </w:tc>
        <w:tc>
          <w:tcPr>
            <w:tcW w:w="3880" w:type="dxa"/>
            <w:vAlign w:val="bottom"/>
            <w:tcBorders>
              <w:right w:val="single" w:sz="8" w:color="auto"/>
            </w:tcBorders>
            <w:gridSpan w:val="9"/>
          </w:tcPr>
          <w:p>
            <w:pPr>
              <w:ind w:left="20"/>
              <w:spacing w:after="0" w:line="182" w:lineRule="exact"/>
              <w:rPr>
                <w:sz w:val="20"/>
                <w:szCs w:val="20"/>
                <w:color w:val="auto"/>
              </w:rPr>
            </w:pPr>
            <w:r>
              <w:rPr>
                <w:rFonts w:ascii="Arial" w:cs="Arial" w:eastAsia="Arial" w:hAnsi="Arial"/>
                <w:sz w:val="18"/>
                <w:szCs w:val="18"/>
                <w:color w:val="auto"/>
              </w:rPr>
              <w:t>expectations. If we are not able to achieve</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9"/>
          </w:tcPr>
          <w:p>
            <w:pPr>
              <w:ind w:left="20"/>
              <w:spacing w:after="0" w:line="180" w:lineRule="exact"/>
              <w:rPr>
                <w:sz w:val="20"/>
                <w:szCs w:val="20"/>
                <w:color w:val="auto"/>
              </w:rPr>
            </w:pPr>
            <w:r>
              <w:rPr>
                <w:rFonts w:ascii="Arial" w:cs="Arial" w:eastAsia="Arial" w:hAnsi="Arial"/>
                <w:sz w:val="18"/>
                <w:szCs w:val="18"/>
                <w:color w:val="auto"/>
              </w:rPr>
              <w:t>projected performance levels, future non-cash</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9"/>
          </w:tcPr>
          <w:p>
            <w:pPr>
              <w:ind w:left="20"/>
              <w:spacing w:after="0" w:line="175" w:lineRule="exact"/>
              <w:rPr>
                <w:sz w:val="20"/>
                <w:szCs w:val="20"/>
                <w:color w:val="auto"/>
              </w:rPr>
            </w:pPr>
            <w:r>
              <w:rPr>
                <w:rFonts w:ascii="Arial" w:cs="Arial" w:eastAsia="Arial" w:hAnsi="Arial"/>
                <w:sz w:val="18"/>
                <w:szCs w:val="18"/>
                <w:color w:val="auto"/>
              </w:rPr>
              <w:t>impairments could be possible. For additional</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gridSpan w:val="9"/>
          </w:tcPr>
          <w:p>
            <w:pPr>
              <w:ind w:left="20"/>
              <w:spacing w:after="0" w:line="182" w:lineRule="exact"/>
              <w:rPr>
                <w:sz w:val="20"/>
                <w:szCs w:val="20"/>
                <w:color w:val="auto"/>
              </w:rPr>
            </w:pPr>
            <w:r>
              <w:rPr>
                <w:rFonts w:ascii="Arial" w:cs="Arial" w:eastAsia="Arial" w:hAnsi="Arial"/>
                <w:sz w:val="18"/>
                <w:szCs w:val="18"/>
                <w:color w:val="auto"/>
              </w:rPr>
              <w:t>information regarding uncertainties, see</w:t>
            </w:r>
          </w:p>
        </w:tc>
        <w:tc>
          <w:tcPr>
            <w:tcW w:w="0" w:type="dxa"/>
            <w:vAlign w:val="bottom"/>
          </w:tcPr>
          <w:p>
            <w:pPr>
              <w:spacing w:after="0"/>
              <w:rPr>
                <w:sz w:val="1"/>
                <w:szCs w:val="1"/>
                <w:color w:val="auto"/>
              </w:rPr>
            </w:pPr>
          </w:p>
        </w:tc>
      </w:tr>
      <w:tr>
        <w:trPr>
          <w:trHeight w:val="193"/>
        </w:trPr>
        <w:tc>
          <w:tcPr>
            <w:tcW w:w="364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gridSpan w:val="9"/>
          </w:tcPr>
          <w:p>
            <w:pPr>
              <w:ind w:left="20"/>
              <w:spacing w:after="0" w:line="193" w:lineRule="exact"/>
              <w:rPr>
                <w:sz w:val="20"/>
                <w:szCs w:val="20"/>
                <w:color w:val="auto"/>
              </w:rPr>
            </w:pPr>
            <w:r>
              <w:rPr>
                <w:rFonts w:ascii="Arial" w:cs="Arial" w:eastAsia="Arial" w:hAnsi="Arial"/>
                <w:sz w:val="18"/>
                <w:szCs w:val="18"/>
                <w:color w:val="auto"/>
              </w:rPr>
              <w:t xml:space="preserve">discussions in </w:t>
            </w:r>
            <w:r>
              <w:rPr>
                <w:rFonts w:ascii="Arial" w:cs="Arial" w:eastAsia="Arial" w:hAnsi="Arial"/>
                <w:sz w:val="18"/>
                <w:szCs w:val="18"/>
                <w:color w:val="0000FF"/>
              </w:rPr>
              <w:t>Goodwill and Long-Lived Asset</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Borders>
              <w:right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Borders>
              <w:right w:val="single" w:sz="8" w:color="auto"/>
            </w:tcBorders>
          </w:tcPr>
          <w:p>
            <w:pPr>
              <w:spacing w:after="0"/>
              <w:rPr>
                <w:sz w:val="13"/>
                <w:szCs w:val="13"/>
                <w:color w:val="auto"/>
              </w:rPr>
            </w:pPr>
          </w:p>
        </w:tc>
        <w:tc>
          <w:tcPr>
            <w:tcW w:w="3640" w:type="dxa"/>
            <w:vAlign w:val="bottom"/>
            <w:gridSpan w:val="8"/>
          </w:tcPr>
          <w:p>
            <w:pPr>
              <w:ind w:left="20"/>
              <w:spacing w:after="0" w:line="154" w:lineRule="exact"/>
              <w:rPr>
                <w:sz w:val="20"/>
                <w:szCs w:val="20"/>
                <w:color w:val="auto"/>
              </w:rPr>
            </w:pPr>
            <w:r>
              <w:rPr>
                <w:rFonts w:ascii="Arial" w:cs="Arial" w:eastAsia="Arial" w:hAnsi="Arial"/>
                <w:sz w:val="17"/>
                <w:szCs w:val="17"/>
                <w:color w:val="0000FF"/>
              </w:rPr>
              <w:t xml:space="preserve">Impairment Testing </w:t>
            </w:r>
            <w:r>
              <w:rPr>
                <w:rFonts w:ascii="Arial" w:cs="Arial" w:eastAsia="Arial" w:hAnsi="Arial"/>
                <w:sz w:val="17"/>
                <w:szCs w:val="17"/>
                <w:color w:val="000000"/>
              </w:rPr>
              <w:t>starting on page 37.</w:t>
            </w:r>
          </w:p>
        </w:tc>
        <w:tc>
          <w:tcPr>
            <w:tcW w:w="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0"/>
        </w:trPr>
        <w:tc>
          <w:tcPr>
            <w:tcW w:w="3640" w:type="dxa"/>
            <w:vAlign w:val="bottom"/>
          </w:tcPr>
          <w:p>
            <w:pPr>
              <w:spacing w:after="0"/>
              <w:rPr>
                <w:sz w:val="24"/>
                <w:szCs w:val="24"/>
                <w:color w:val="auto"/>
              </w:rPr>
            </w:pPr>
          </w:p>
        </w:tc>
        <w:tc>
          <w:tcPr>
            <w:tcW w:w="3740" w:type="dxa"/>
            <w:vAlign w:val="bottom"/>
            <w:gridSpan w:val="3"/>
          </w:tcPr>
          <w:p>
            <w:pPr>
              <w:ind w:left="188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20" w:type="dxa"/>
            <w:vAlign w:val="bottom"/>
            <w:tcBorders>
              <w:top w:val="single" w:sz="8" w:color="auto"/>
            </w:tcBorders>
          </w:tcPr>
          <w:p>
            <w:pPr>
              <w:spacing w:after="0"/>
              <w:rPr>
                <w:sz w:val="16"/>
                <w:szCs w:val="16"/>
                <w:color w:val="auto"/>
              </w:rPr>
            </w:pPr>
          </w:p>
        </w:tc>
        <w:tc>
          <w:tcPr>
            <w:tcW w:w="3860" w:type="dxa"/>
            <w:vAlign w:val="bottom"/>
            <w:tcBorders>
              <w:top w:val="single" w:sz="8" w:color="auto"/>
              <w:right w:val="single" w:sz="8" w:color="auto"/>
            </w:tcBorders>
            <w:gridSpan w:val="6"/>
          </w:tcPr>
          <w:p>
            <w:pPr>
              <w:spacing w:after="0" w:line="188"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Other Long-Lived Assets</w:t>
            </w:r>
          </w:p>
        </w:tc>
        <w:tc>
          <w:tcPr>
            <w:tcW w:w="3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Other long-lived assets are tested for</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Impairments of other long-lived assets</w:t>
            </w:r>
          </w:p>
        </w:tc>
        <w:tc>
          <w:tcPr>
            <w:tcW w:w="20" w:type="dxa"/>
            <w:vAlign w:val="bottom"/>
          </w:tcPr>
          <w:p>
            <w:pPr>
              <w:spacing w:after="0"/>
              <w:rPr>
                <w:sz w:val="15"/>
                <w:szCs w:val="15"/>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We had $19 million of non-cash pretax</w:t>
            </w: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restart"/>
          </w:tcPr>
          <w:p>
            <w:pPr>
              <w:ind w:left="40"/>
              <w:spacing w:after="0" w:line="182" w:lineRule="exact"/>
              <w:rPr>
                <w:sz w:val="20"/>
                <w:szCs w:val="20"/>
                <w:color w:val="auto"/>
              </w:rPr>
            </w:pPr>
            <w:r>
              <w:rPr>
                <w:rFonts w:ascii="Arial" w:cs="Arial" w:eastAsia="Arial" w:hAnsi="Arial"/>
                <w:sz w:val="18"/>
                <w:szCs w:val="18"/>
                <w:color w:val="auto"/>
              </w:rPr>
              <w:t>recoverability at year end and whenever</w:t>
            </w:r>
          </w:p>
        </w:tc>
        <w:tc>
          <w:tcPr>
            <w:tcW w:w="3740" w:type="dxa"/>
            <w:vAlign w:val="bottom"/>
            <w:tcBorders>
              <w:right w:val="single" w:sz="8" w:color="auto"/>
            </w:tcBorders>
            <w:vMerge w:val="restart"/>
          </w:tcPr>
          <w:p>
            <w:pPr>
              <w:spacing w:after="0" w:line="182" w:lineRule="exact"/>
              <w:rPr>
                <w:sz w:val="20"/>
                <w:szCs w:val="20"/>
                <w:color w:val="auto"/>
              </w:rPr>
            </w:pPr>
            <w:r>
              <w:rPr>
                <w:rFonts w:ascii="Arial" w:cs="Arial" w:eastAsia="Arial" w:hAnsi="Arial"/>
                <w:sz w:val="18"/>
                <w:szCs w:val="18"/>
                <w:color w:val="auto"/>
              </w:rPr>
              <w:t>usually occur when industry trends reduce</w:t>
            </w:r>
          </w:p>
        </w:tc>
        <w:tc>
          <w:tcPr>
            <w:tcW w:w="20" w:type="dxa"/>
            <w:vAlign w:val="bottom"/>
          </w:tcPr>
          <w:p>
            <w:pPr>
              <w:spacing w:after="0"/>
              <w:rPr>
                <w:sz w:val="8"/>
                <w:szCs w:val="8"/>
                <w:color w:val="auto"/>
              </w:rPr>
            </w:pPr>
          </w:p>
        </w:tc>
        <w:tc>
          <w:tcPr>
            <w:tcW w:w="3860" w:type="dxa"/>
            <w:vAlign w:val="bottom"/>
            <w:tcBorders>
              <w:right w:val="single" w:sz="8" w:color="auto"/>
            </w:tcBorders>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64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860" w:type="dxa"/>
            <w:vAlign w:val="bottom"/>
            <w:tcBorders>
              <w:right w:val="single" w:sz="8" w:color="auto"/>
            </w:tcBorders>
            <w:gridSpan w:val="6"/>
            <w:vMerge w:val="restart"/>
          </w:tcPr>
          <w:p>
            <w:pPr>
              <w:spacing w:after="0" w:line="175" w:lineRule="exact"/>
              <w:rPr>
                <w:sz w:val="20"/>
                <w:szCs w:val="20"/>
                <w:color w:val="auto"/>
              </w:rPr>
            </w:pPr>
            <w:r>
              <w:rPr>
                <w:rFonts w:ascii="Arial" w:cs="Arial" w:eastAsia="Arial" w:hAnsi="Arial"/>
                <w:sz w:val="18"/>
                <w:szCs w:val="18"/>
                <w:color w:val="auto"/>
              </w:rPr>
              <w:t>impairment charges in 2025, all of which were</w:t>
            </w:r>
          </w:p>
        </w:tc>
        <w:tc>
          <w:tcPr>
            <w:tcW w:w="0" w:type="dxa"/>
            <w:vAlign w:val="bottom"/>
          </w:tcPr>
          <w:p>
            <w:pPr>
              <w:spacing w:after="0"/>
              <w:rPr>
                <w:sz w:val="1"/>
                <w:szCs w:val="1"/>
                <w:color w:val="auto"/>
              </w:rPr>
            </w:pPr>
          </w:p>
        </w:tc>
      </w:tr>
      <w:tr>
        <w:trPr>
          <w:trHeight w:val="86"/>
        </w:trPr>
        <w:tc>
          <w:tcPr>
            <w:tcW w:w="3640" w:type="dxa"/>
            <w:vAlign w:val="bottom"/>
            <w:tcBorders>
              <w:left w:val="single" w:sz="8" w:color="auto"/>
              <w:right w:val="single" w:sz="8" w:color="auto"/>
            </w:tcBorders>
            <w:vMerge w:val="restart"/>
          </w:tcPr>
          <w:p>
            <w:pPr>
              <w:ind w:left="40"/>
              <w:spacing w:after="0" w:line="180" w:lineRule="exact"/>
              <w:rPr>
                <w:sz w:val="20"/>
                <w:szCs w:val="20"/>
                <w:color w:val="auto"/>
              </w:rPr>
            </w:pPr>
            <w:r>
              <w:rPr>
                <w:rFonts w:ascii="Arial" w:cs="Arial" w:eastAsia="Arial" w:hAnsi="Arial"/>
                <w:sz w:val="18"/>
                <w:szCs w:val="18"/>
                <w:color w:val="auto"/>
              </w:rPr>
              <w:t>events or circumstances indicate the</w:t>
            </w:r>
          </w:p>
        </w:tc>
        <w:tc>
          <w:tcPr>
            <w:tcW w:w="3740" w:type="dxa"/>
            <w:vAlign w:val="bottom"/>
            <w:tcBorders>
              <w:right w:val="single" w:sz="8" w:color="auto"/>
            </w:tcBorders>
            <w:vMerge w:val="restart"/>
          </w:tcPr>
          <w:p>
            <w:pPr>
              <w:spacing w:after="0" w:line="180" w:lineRule="exact"/>
              <w:rPr>
                <w:sz w:val="20"/>
                <w:szCs w:val="20"/>
                <w:color w:val="auto"/>
              </w:rPr>
            </w:pPr>
            <w:r>
              <w:rPr>
                <w:rFonts w:ascii="Arial" w:cs="Arial" w:eastAsia="Arial" w:hAnsi="Arial"/>
                <w:sz w:val="18"/>
                <w:szCs w:val="18"/>
                <w:color w:val="auto"/>
              </w:rPr>
              <w:t>our forecasted sales and earnings, major</w:t>
            </w:r>
          </w:p>
        </w:tc>
        <w:tc>
          <w:tcPr>
            <w:tcW w:w="20" w:type="dxa"/>
            <w:vAlign w:val="bottom"/>
          </w:tcPr>
          <w:p>
            <w:pPr>
              <w:spacing w:after="0"/>
              <w:rPr>
                <w:sz w:val="7"/>
                <w:szCs w:val="7"/>
                <w:color w:val="auto"/>
              </w:rPr>
            </w:pPr>
          </w:p>
        </w:tc>
        <w:tc>
          <w:tcPr>
            <w:tcW w:w="386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3860" w:type="dxa"/>
            <w:vAlign w:val="bottom"/>
            <w:tcBorders>
              <w:right w:val="single" w:sz="8" w:color="auto"/>
            </w:tcBorders>
            <w:gridSpan w:val="6"/>
            <w:vMerge w:val="restart"/>
          </w:tcPr>
          <w:p>
            <w:pPr>
              <w:spacing w:after="0" w:line="182" w:lineRule="exact"/>
              <w:rPr>
                <w:sz w:val="20"/>
                <w:szCs w:val="20"/>
                <w:color w:val="auto"/>
              </w:rPr>
            </w:pPr>
            <w:r>
              <w:rPr>
                <w:rFonts w:ascii="Arial" w:cs="Arial" w:eastAsia="Arial" w:hAnsi="Arial"/>
                <w:sz w:val="18"/>
                <w:szCs w:val="18"/>
                <w:color w:val="auto"/>
              </w:rPr>
              <w:t>associated with the 2024 Restructuring Plan. In</w:t>
            </w:r>
          </w:p>
        </w:tc>
        <w:tc>
          <w:tcPr>
            <w:tcW w:w="0" w:type="dxa"/>
            <w:vAlign w:val="bottom"/>
          </w:tcPr>
          <w:p>
            <w:pPr>
              <w:spacing w:after="0"/>
              <w:rPr>
                <w:sz w:val="1"/>
                <w:szCs w:val="1"/>
                <w:color w:val="auto"/>
              </w:rPr>
            </w:pPr>
          </w:p>
        </w:tc>
      </w:tr>
      <w:tr>
        <w:trPr>
          <w:trHeight w:val="88"/>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carrying value may not be recoverable.</w:t>
            </w: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restructuring activities take place, or we</w:t>
            </w:r>
          </w:p>
        </w:tc>
        <w:tc>
          <w:tcPr>
            <w:tcW w:w="20" w:type="dxa"/>
            <w:vAlign w:val="bottom"/>
          </w:tcPr>
          <w:p>
            <w:pPr>
              <w:spacing w:after="0"/>
              <w:rPr>
                <w:sz w:val="7"/>
                <w:szCs w:val="7"/>
                <w:color w:val="auto"/>
              </w:rPr>
            </w:pPr>
          </w:p>
        </w:tc>
        <w:tc>
          <w:tcPr>
            <w:tcW w:w="386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64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860" w:type="dxa"/>
            <w:vAlign w:val="bottom"/>
            <w:tcBorders>
              <w:right w:val="single" w:sz="8" w:color="auto"/>
            </w:tcBorders>
            <w:gridSpan w:val="6"/>
            <w:vMerge w:val="restart"/>
          </w:tcPr>
          <w:p>
            <w:pPr>
              <w:spacing w:after="0" w:line="180" w:lineRule="exact"/>
              <w:rPr>
                <w:sz w:val="20"/>
                <w:szCs w:val="20"/>
                <w:color w:val="auto"/>
              </w:rPr>
            </w:pPr>
            <w:r>
              <w:rPr>
                <w:rFonts w:ascii="Arial" w:cs="Arial" w:eastAsia="Arial" w:hAnsi="Arial"/>
                <w:sz w:val="18"/>
                <w:szCs w:val="18"/>
                <w:color w:val="auto"/>
              </w:rPr>
              <w:t>2024, we had non-cash pretax impairment</w:t>
            </w:r>
          </w:p>
        </w:tc>
        <w:tc>
          <w:tcPr>
            <w:tcW w:w="0" w:type="dxa"/>
            <w:vAlign w:val="bottom"/>
          </w:tcPr>
          <w:p>
            <w:pPr>
              <w:spacing w:after="0"/>
              <w:rPr>
                <w:sz w:val="1"/>
                <w:szCs w:val="1"/>
                <w:color w:val="auto"/>
              </w:rPr>
            </w:pPr>
          </w:p>
        </w:tc>
      </w:tr>
      <w:tr>
        <w:trPr>
          <w:trHeight w:val="94"/>
        </w:trPr>
        <w:tc>
          <w:tcPr>
            <w:tcW w:w="364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decide to discontinue selected products.</w:t>
            </w:r>
          </w:p>
        </w:tc>
        <w:tc>
          <w:tcPr>
            <w:tcW w:w="20" w:type="dxa"/>
            <w:vAlign w:val="bottom"/>
          </w:tcPr>
          <w:p>
            <w:pPr>
              <w:spacing w:after="0"/>
              <w:rPr>
                <w:sz w:val="8"/>
                <w:szCs w:val="8"/>
                <w:color w:val="auto"/>
              </w:rPr>
            </w:pPr>
          </w:p>
        </w:tc>
        <w:tc>
          <w:tcPr>
            <w:tcW w:w="3860" w:type="dxa"/>
            <w:vAlign w:val="bottom"/>
            <w:tcBorders>
              <w:right w:val="single" w:sz="8" w:color="auto"/>
            </w:tcBorders>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 other long-lived assets we estimate</w:t>
            </w:r>
          </w:p>
        </w:tc>
        <w:tc>
          <w:tcPr>
            <w:tcW w:w="37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right w:val="single" w:sz="8" w:color="auto"/>
            </w:tcBorders>
            <w:gridSpan w:val="6"/>
            <w:vMerge w:val="restart"/>
          </w:tcPr>
          <w:p>
            <w:pPr>
              <w:spacing w:after="0" w:line="175" w:lineRule="exact"/>
              <w:rPr>
                <w:sz w:val="20"/>
                <w:szCs w:val="20"/>
                <w:color w:val="auto"/>
              </w:rPr>
            </w:pPr>
            <w:r>
              <w:rPr>
                <w:rFonts w:ascii="Arial" w:cs="Arial" w:eastAsia="Arial" w:hAnsi="Arial"/>
                <w:sz w:val="18"/>
                <w:szCs w:val="18"/>
                <w:color w:val="auto"/>
              </w:rPr>
              <w:t>charges of $6 million, with $4 million related to</w:t>
            </w:r>
          </w:p>
        </w:tc>
        <w:tc>
          <w:tcPr>
            <w:tcW w:w="0" w:type="dxa"/>
            <w:vAlign w:val="bottom"/>
          </w:tcPr>
          <w:p>
            <w:pPr>
              <w:spacing w:after="0"/>
              <w:rPr>
                <w:sz w:val="1"/>
                <w:szCs w:val="1"/>
                <w:color w:val="auto"/>
              </w:rPr>
            </w:pPr>
          </w:p>
        </w:tc>
      </w:tr>
      <w:tr>
        <w:trPr>
          <w:trHeight w:val="32"/>
        </w:trPr>
        <w:tc>
          <w:tcPr>
            <w:tcW w:w="3640" w:type="dxa"/>
            <w:vAlign w:val="bottom"/>
            <w:tcBorders>
              <w:left w:val="single" w:sz="8" w:color="auto"/>
              <w:right w:val="single" w:sz="8" w:color="auto"/>
            </w:tcBorders>
            <w:vMerge w:val="continue"/>
          </w:tcPr>
          <w:p>
            <w:pPr>
              <w:spacing w:after="0"/>
              <w:rPr>
                <w:sz w:val="2"/>
                <w:szCs w:val="2"/>
                <w:color w:val="auto"/>
              </w:rPr>
            </w:pPr>
          </w:p>
        </w:tc>
        <w:tc>
          <w:tcPr>
            <w:tcW w:w="37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60" w:type="dxa"/>
            <w:vAlign w:val="bottom"/>
            <w:tcBorders>
              <w:right w:val="single" w:sz="8" w:color="auto"/>
            </w:tcBorders>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364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impairment assessments have</w:t>
            </w:r>
          </w:p>
        </w:tc>
        <w:tc>
          <w:tcPr>
            <w:tcW w:w="20" w:type="dxa"/>
            <w:vAlign w:val="bottom"/>
          </w:tcPr>
          <w:p>
            <w:pPr>
              <w:spacing w:after="0"/>
              <w:rPr>
                <w:sz w:val="7"/>
                <w:szCs w:val="7"/>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the 2024 Restructuring Plan.</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fair value at the lowest level where cash</w:t>
            </w:r>
          </w:p>
        </w:tc>
        <w:tc>
          <w:tcPr>
            <w:tcW w:w="37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flows can be measured.</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uncertainties because they require</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8"/>
                <w:szCs w:val="18"/>
                <w:color w:val="auto"/>
              </w:rPr>
              <w:t>We had a triggering event to review long-lived</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estimates of future cash flows to determine</w:t>
            </w:r>
          </w:p>
        </w:tc>
        <w:tc>
          <w:tcPr>
            <w:tcW w:w="20" w:type="dxa"/>
            <w:vAlign w:val="bottom"/>
          </w:tcPr>
          <w:p>
            <w:pPr>
              <w:spacing w:after="0"/>
              <w:rPr>
                <w:sz w:val="16"/>
                <w:szCs w:val="16"/>
                <w:color w:val="auto"/>
              </w:rPr>
            </w:pPr>
          </w:p>
        </w:tc>
        <w:tc>
          <w:tcPr>
            <w:tcW w:w="3860" w:type="dxa"/>
            <w:vAlign w:val="bottom"/>
            <w:tcBorders>
              <w:right w:val="single" w:sz="8" w:color="auto"/>
            </w:tcBorders>
            <w:gridSpan w:val="6"/>
          </w:tcPr>
          <w:p>
            <w:pPr>
              <w:spacing w:after="0" w:line="188" w:lineRule="exact"/>
              <w:rPr>
                <w:sz w:val="20"/>
                <w:szCs w:val="20"/>
                <w:color w:val="auto"/>
              </w:rPr>
            </w:pPr>
            <w:r>
              <w:rPr>
                <w:rFonts w:ascii="Arial" w:cs="Arial" w:eastAsia="Arial" w:hAnsi="Arial"/>
                <w:sz w:val="18"/>
                <w:szCs w:val="18"/>
                <w:color w:val="auto"/>
              </w:rPr>
              <w:t>assets for impairment late in the fourth quarter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if undiscounted cash flows are sufficient to</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8"/>
                <w:szCs w:val="18"/>
                <w:color w:val="auto"/>
              </w:rPr>
              <w:t>of 2023, which resulted in non-cash pretax</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recover carrying values of these assets.</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8"/>
                <w:szCs w:val="18"/>
                <w:color w:val="auto"/>
              </w:rPr>
              <w:t>impairment charges of $444 million in our</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For assets where undiscounted cash flows</w:t>
            </w:r>
          </w:p>
        </w:tc>
        <w:tc>
          <w:tcPr>
            <w:tcW w:w="20" w:type="dxa"/>
            <w:vAlign w:val="bottom"/>
          </w:tcPr>
          <w:p>
            <w:pPr>
              <w:spacing w:after="0"/>
              <w:rPr>
                <w:sz w:val="20"/>
                <w:szCs w:val="20"/>
                <w:color w:val="auto"/>
              </w:rPr>
            </w:pPr>
          </w:p>
        </w:tc>
        <w:tc>
          <w:tcPr>
            <w:tcW w:w="38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Bedding Products segment.</w:t>
            </w:r>
          </w:p>
        </w:tc>
        <w:tc>
          <w:tcPr>
            <w:tcW w:w="0" w:type="dxa"/>
            <w:vAlign w:val="bottom"/>
          </w:tcPr>
          <w:p>
            <w:pPr>
              <w:spacing w:after="0"/>
              <w:rPr>
                <w:sz w:val="1"/>
                <w:szCs w:val="1"/>
                <w:color w:val="auto"/>
              </w:rPr>
            </w:pPr>
          </w:p>
        </w:tc>
      </w:tr>
      <w:tr>
        <w:trPr>
          <w:trHeight w:val="51"/>
        </w:trPr>
        <w:tc>
          <w:tcPr>
            <w:tcW w:w="364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3860" w:type="dxa"/>
            <w:vAlign w:val="bottom"/>
            <w:tcBorders>
              <w:right w:val="single" w:sz="8" w:color="auto"/>
            </w:tcBorders>
            <w:gridSpan w:val="6"/>
            <w:vMerge w:val="restart"/>
          </w:tcPr>
          <w:p>
            <w:pPr>
              <w:spacing w:after="0" w:line="206" w:lineRule="exact"/>
              <w:rPr>
                <w:sz w:val="20"/>
                <w:szCs w:val="20"/>
                <w:color w:val="auto"/>
              </w:rPr>
            </w:pPr>
            <w:r>
              <w:rPr>
                <w:rFonts w:ascii="Arial" w:cs="Arial" w:eastAsia="Arial" w:hAnsi="Arial"/>
                <w:sz w:val="18"/>
                <w:szCs w:val="18"/>
                <w:color w:val="auto"/>
              </w:rPr>
              <w:t xml:space="preserve">For additional information, see </w:t>
            </w:r>
            <w:r>
              <w:rPr>
                <w:rFonts w:ascii="Arial" w:cs="Arial" w:eastAsia="Arial" w:hAnsi="Arial"/>
                <w:sz w:val="18"/>
                <w:szCs w:val="18"/>
                <w:color w:val="0000FF"/>
              </w:rPr>
              <w:t>Note F</w:t>
            </w:r>
            <w:r>
              <w:rPr>
                <w:rFonts w:ascii="Arial" w:cs="Arial" w:eastAsia="Arial" w:hAnsi="Arial"/>
                <w:sz w:val="18"/>
                <w:szCs w:val="18"/>
                <w:color w:val="auto"/>
              </w:rPr>
              <w:t xml:space="preserve"> on page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54" w:lineRule="exact"/>
              <w:rPr>
                <w:sz w:val="20"/>
                <w:szCs w:val="20"/>
                <w:color w:val="auto"/>
              </w:rPr>
            </w:pPr>
            <w:r>
              <w:rPr>
                <w:rFonts w:ascii="Arial" w:cs="Arial" w:eastAsia="Arial" w:hAnsi="Arial"/>
                <w:sz w:val="17"/>
                <w:szCs w:val="17"/>
                <w:color w:val="auto"/>
              </w:rPr>
              <w:t>are not expected to recover carrying value,</w:t>
            </w:r>
          </w:p>
        </w:tc>
        <w:tc>
          <w:tcPr>
            <w:tcW w:w="20" w:type="dxa"/>
            <w:vAlign w:val="bottom"/>
          </w:tcPr>
          <w:p>
            <w:pPr>
              <w:spacing w:after="0"/>
              <w:rPr>
                <w:sz w:val="15"/>
                <w:szCs w:val="15"/>
                <w:color w:val="auto"/>
              </w:rPr>
            </w:pPr>
          </w:p>
        </w:tc>
        <w:tc>
          <w:tcPr>
            <w:tcW w:w="3860" w:type="dxa"/>
            <w:vAlign w:val="bottom"/>
            <w:tcBorders>
              <w:right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fair value is estimated using discounted</w:t>
            </w:r>
          </w:p>
        </w:tc>
        <w:tc>
          <w:tcPr>
            <w:tcW w:w="20" w:type="dxa"/>
            <w:vAlign w:val="bottom"/>
            <w:vMerge w:val="restart"/>
          </w:tcPr>
          <w:p>
            <w:pPr>
              <w:spacing w:after="0" w:line="20" w:lineRule="exact"/>
              <w:rPr>
                <w:sz w:val="1"/>
                <w:szCs w:val="1"/>
                <w:color w:val="auto"/>
              </w:rPr>
            </w:pPr>
          </w:p>
        </w:tc>
        <w:tc>
          <w:tcPr>
            <w:tcW w:w="2460" w:type="dxa"/>
            <w:vAlign w:val="bottom"/>
            <w:gridSpan w:val="3"/>
            <w:vMerge w:val="restart"/>
          </w:tcPr>
          <w:p>
            <w:pPr>
              <w:spacing w:after="0" w:line="175" w:lineRule="exact"/>
              <w:rPr>
                <w:sz w:val="20"/>
                <w:szCs w:val="20"/>
                <w:color w:val="auto"/>
              </w:rPr>
            </w:pPr>
            <w:r>
              <w:rPr>
                <w:rFonts w:ascii="Arial" w:cs="Arial" w:eastAsia="Arial" w:hAnsi="Arial"/>
                <w:sz w:val="18"/>
                <w:szCs w:val="18"/>
                <w:color w:val="auto"/>
                <w:w w:val="96"/>
              </w:rPr>
              <w:t>97 of the Notes to Consolidated</w:t>
            </w: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400" w:type="dxa"/>
            <w:vAlign w:val="bottom"/>
            <w:tcBorders>
              <w:right w:val="single" w:sz="8" w:color="auto"/>
            </w:tcBorders>
            <w:gridSpan w:val="3"/>
          </w:tcPr>
          <w:p>
            <w:pPr>
              <w:ind w:left="100"/>
              <w:spacing w:after="0" w:line="154" w:lineRule="exact"/>
              <w:rPr>
                <w:sz w:val="20"/>
                <w:szCs w:val="20"/>
                <w:color w:val="auto"/>
              </w:rPr>
            </w:pPr>
            <w:r>
              <w:rPr>
                <w:rFonts w:ascii="Arial" w:cs="Arial" w:eastAsia="Arial" w:hAnsi="Arial"/>
                <w:sz w:val="17"/>
                <w:szCs w:val="17"/>
                <w:color w:val="auto"/>
              </w:rPr>
              <w:t>Financial</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68" w:lineRule="exact"/>
              <w:rPr>
                <w:sz w:val="20"/>
                <w:szCs w:val="20"/>
                <w:color w:val="auto"/>
              </w:rPr>
            </w:pPr>
            <w:r>
              <w:rPr>
                <w:rFonts w:ascii="Arial" w:cs="Arial" w:eastAsia="Arial" w:hAnsi="Arial"/>
                <w:sz w:val="18"/>
                <w:szCs w:val="18"/>
                <w:color w:val="auto"/>
              </w:rPr>
              <w:t>cash flow models for intangibles and right-</w:t>
            </w:r>
          </w:p>
        </w:tc>
        <w:tc>
          <w:tcPr>
            <w:tcW w:w="20" w:type="dxa"/>
            <w:vAlign w:val="bottom"/>
          </w:tcPr>
          <w:p>
            <w:pPr>
              <w:spacing w:after="0"/>
              <w:rPr>
                <w:sz w:val="15"/>
                <w:szCs w:val="15"/>
                <w:color w:val="auto"/>
              </w:rPr>
            </w:pPr>
          </w:p>
        </w:tc>
        <w:tc>
          <w:tcPr>
            <w:tcW w:w="1300" w:type="dxa"/>
            <w:vAlign w:val="bottom"/>
          </w:tcPr>
          <w:p>
            <w:pPr>
              <w:spacing w:after="0" w:line="168" w:lineRule="exact"/>
              <w:rPr>
                <w:sz w:val="20"/>
                <w:szCs w:val="20"/>
                <w:color w:val="auto"/>
              </w:rPr>
            </w:pPr>
            <w:r>
              <w:rPr>
                <w:rFonts w:ascii="Arial" w:cs="Arial" w:eastAsia="Arial" w:hAnsi="Arial"/>
                <w:sz w:val="18"/>
                <w:szCs w:val="18"/>
                <w:color w:val="auto"/>
              </w:rPr>
              <w:t>Statements and</w:t>
            </w:r>
          </w:p>
        </w:tc>
        <w:tc>
          <w:tcPr>
            <w:tcW w:w="2460" w:type="dxa"/>
            <w:vAlign w:val="bottom"/>
            <w:tcBorders>
              <w:bottom w:val="single" w:sz="8" w:color="0000FF"/>
            </w:tcBorders>
            <w:gridSpan w:val="4"/>
          </w:tcPr>
          <w:p>
            <w:pPr>
              <w:spacing w:after="0" w:line="154" w:lineRule="exact"/>
              <w:rPr>
                <w:sz w:val="20"/>
                <w:szCs w:val="20"/>
                <w:color w:val="auto"/>
              </w:rPr>
            </w:pPr>
            <w:r>
              <w:rPr>
                <w:rFonts w:ascii="Arial" w:cs="Arial" w:eastAsia="Arial" w:hAnsi="Arial"/>
                <w:sz w:val="17"/>
                <w:szCs w:val="17"/>
                <w:color w:val="0000FF"/>
              </w:rPr>
              <w:t>Goodwill and Long-Lived Asset</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4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54" w:lineRule="exact"/>
              <w:rPr>
                <w:sz w:val="20"/>
                <w:szCs w:val="20"/>
                <w:color w:val="auto"/>
              </w:rPr>
            </w:pPr>
            <w:r>
              <w:rPr>
                <w:rFonts w:ascii="Arial" w:cs="Arial" w:eastAsia="Arial" w:hAnsi="Arial"/>
                <w:sz w:val="17"/>
                <w:szCs w:val="17"/>
                <w:color w:val="auto"/>
              </w:rPr>
              <w:t>of-use assets or estimated replacement</w:t>
            </w:r>
          </w:p>
        </w:tc>
        <w:tc>
          <w:tcPr>
            <w:tcW w:w="20" w:type="dxa"/>
            <w:vAlign w:val="bottom"/>
          </w:tcPr>
          <w:p>
            <w:pPr>
              <w:spacing w:after="0"/>
              <w:rPr>
                <w:sz w:val="14"/>
                <w:szCs w:val="14"/>
                <w:color w:val="auto"/>
              </w:rPr>
            </w:pPr>
          </w:p>
        </w:tc>
        <w:tc>
          <w:tcPr>
            <w:tcW w:w="3860" w:type="dxa"/>
            <w:vAlign w:val="bottom"/>
            <w:tcBorders>
              <w:right w:val="single" w:sz="8" w:color="auto"/>
            </w:tcBorders>
            <w:gridSpan w:val="6"/>
          </w:tcPr>
          <w:p>
            <w:pPr>
              <w:spacing w:after="0" w:line="154" w:lineRule="exact"/>
              <w:rPr>
                <w:sz w:val="20"/>
                <w:szCs w:val="20"/>
                <w:color w:val="auto"/>
              </w:rPr>
            </w:pPr>
            <w:r>
              <w:rPr>
                <w:rFonts w:ascii="Arial" w:cs="Arial" w:eastAsia="Arial" w:hAnsi="Arial"/>
                <w:sz w:val="17"/>
                <w:szCs w:val="17"/>
                <w:color w:val="0000FF"/>
              </w:rPr>
              <w:t xml:space="preserve">Impairment Testing </w:t>
            </w:r>
            <w:r>
              <w:rPr>
                <w:rFonts w:ascii="Arial" w:cs="Arial" w:eastAsia="Arial" w:hAnsi="Arial"/>
                <w:sz w:val="17"/>
                <w:szCs w:val="17"/>
                <w:color w:val="000000"/>
              </w:rPr>
              <w:t>starting on page 37.</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cost for fixed assets.</w:t>
            </w:r>
          </w:p>
        </w:tc>
        <w:tc>
          <w:tcPr>
            <w:tcW w:w="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36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At December 31, 2025, net property, plant and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8"/>
                <w:szCs w:val="18"/>
                <w:color w:val="auto"/>
              </w:rPr>
              <w:t>equipment was $664 million, net intangible</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8"/>
                <w:szCs w:val="18"/>
                <w:color w:val="auto"/>
              </w:rPr>
              <w:t>assets (other than goodwill) were $91 million,</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0" w:lineRule="exact"/>
              <w:rPr>
                <w:sz w:val="20"/>
                <w:szCs w:val="20"/>
                <w:color w:val="auto"/>
              </w:rPr>
            </w:pPr>
            <w:r>
              <w:rPr>
                <w:rFonts w:ascii="Arial" w:cs="Arial" w:eastAsia="Arial" w:hAnsi="Arial"/>
                <w:sz w:val="18"/>
                <w:szCs w:val="18"/>
                <w:color w:val="auto"/>
              </w:rPr>
              <w:t>and operating lease right-of-use assets were</w:t>
            </w:r>
          </w:p>
        </w:tc>
        <w:tc>
          <w:tcPr>
            <w:tcW w:w="0" w:type="dxa"/>
            <w:vAlign w:val="bottom"/>
          </w:tcPr>
          <w:p>
            <w:pPr>
              <w:spacing w:after="0"/>
              <w:rPr>
                <w:sz w:val="1"/>
                <w:szCs w:val="1"/>
                <w:color w:val="auto"/>
              </w:rPr>
            </w:pPr>
          </w:p>
        </w:tc>
      </w:tr>
      <w:tr>
        <w:trPr>
          <w:trHeight w:val="228"/>
        </w:trPr>
        <w:tc>
          <w:tcPr>
            <w:tcW w:w="3640" w:type="dxa"/>
            <w:vAlign w:val="bottom"/>
            <w:tcBorders>
              <w:left w:val="single" w:sz="8" w:color="auto"/>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$138 million.</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Inventory Reserves</w:t>
            </w:r>
          </w:p>
        </w:tc>
        <w:tc>
          <w:tcPr>
            <w:tcW w:w="3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We reduce the carrying value of</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Our inventory reserve contains</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0" w:lineRule="exact"/>
              <w:rPr>
                <w:sz w:val="20"/>
                <w:szCs w:val="20"/>
                <w:color w:val="auto"/>
              </w:rPr>
            </w:pPr>
            <w:r>
              <w:rPr>
                <w:rFonts w:ascii="Arial" w:cs="Arial" w:eastAsia="Arial" w:hAnsi="Arial"/>
                <w:sz w:val="18"/>
                <w:szCs w:val="18"/>
                <w:color w:val="auto"/>
              </w:rPr>
              <w:t>At December 31, 2025, the reserve for obsolete</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inventories to reflect an estimate of net</w:t>
            </w: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uncertainties because the calculation</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8"/>
                <w:szCs w:val="18"/>
                <w:color w:val="auto"/>
              </w:rPr>
              <w:t>and slow-moving inventory was $42 million,</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realizable value for slow-moving (i.e., not</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requires management to make</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0" w:lineRule="exact"/>
              <w:rPr>
                <w:sz w:val="20"/>
                <w:szCs w:val="20"/>
                <w:color w:val="auto"/>
              </w:rPr>
            </w:pPr>
            <w:r>
              <w:rPr>
                <w:rFonts w:ascii="Arial" w:cs="Arial" w:eastAsia="Arial" w:hAnsi="Arial"/>
                <w:sz w:val="18"/>
                <w:szCs w:val="18"/>
                <w:color w:val="auto"/>
              </w:rPr>
              <w:t>approximately 7% of inventories. Our reserves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selling very quickly) and obsolete</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assumptions about the value of products</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8"/>
                <w:szCs w:val="18"/>
                <w:color w:val="auto"/>
              </w:rPr>
              <w:t>at December 31, 2024 and December 31, 2023</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inventory.</w:t>
            </w: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that are obsolete or slow-moving.</w:t>
            </w:r>
          </w:p>
        </w:tc>
        <w:tc>
          <w:tcPr>
            <w:tcW w:w="20" w:type="dxa"/>
            <w:vAlign w:val="bottom"/>
          </w:tcPr>
          <w:p>
            <w:pPr>
              <w:spacing w:after="0"/>
              <w:rPr>
                <w:sz w:val="20"/>
                <w:szCs w:val="20"/>
                <w:color w:val="auto"/>
              </w:rPr>
            </w:pPr>
          </w:p>
        </w:tc>
        <w:tc>
          <w:tcPr>
            <w:tcW w:w="38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were 8% and 6%, respectively.</w:t>
            </w:r>
          </w:p>
        </w:tc>
        <w:tc>
          <w:tcPr>
            <w:tcW w:w="0" w:type="dxa"/>
            <w:vAlign w:val="bottom"/>
          </w:tcPr>
          <w:p>
            <w:pPr>
              <w:spacing w:after="0"/>
              <w:rPr>
                <w:sz w:val="1"/>
                <w:szCs w:val="1"/>
                <w:color w:val="auto"/>
              </w:rPr>
            </w:pPr>
          </w:p>
        </w:tc>
      </w:tr>
      <w:tr>
        <w:trPr>
          <w:trHeight w:val="300"/>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Generally, a reserve is required when we</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Purchases of inventories in excess of</w:t>
            </w:r>
          </w:p>
        </w:tc>
        <w:tc>
          <w:tcPr>
            <w:tcW w:w="20" w:type="dxa"/>
            <w:vAlign w:val="bottom"/>
          </w:tcPr>
          <w:p>
            <w:pPr>
              <w:spacing w:after="0"/>
              <w:rPr>
                <w:sz w:val="24"/>
                <w:szCs w:val="24"/>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Write-down of inventories were $13 million, $36</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have more than a 12-month supply of the</w:t>
            </w:r>
          </w:p>
        </w:tc>
        <w:tc>
          <w:tcPr>
            <w:tcW w:w="3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386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quantities ultimately sold and/or changes in</w:t>
            </w:r>
          </w:p>
        </w:tc>
        <w:tc>
          <w:tcPr>
            <w:tcW w:w="20" w:type="dxa"/>
            <w:vAlign w:val="bottom"/>
          </w:tcPr>
          <w:p>
            <w:pPr>
              <w:spacing w:after="0"/>
              <w:rPr>
                <w:sz w:val="9"/>
                <w:szCs w:val="9"/>
                <w:color w:val="auto"/>
              </w:rPr>
            </w:pPr>
          </w:p>
        </w:tc>
        <w:tc>
          <w:tcPr>
            <w:tcW w:w="3860" w:type="dxa"/>
            <w:vAlign w:val="bottom"/>
            <w:tcBorders>
              <w:right w:val="single" w:sz="8" w:color="auto"/>
            </w:tcBorders>
            <w:gridSpan w:val="6"/>
            <w:vMerge w:val="restart"/>
          </w:tcPr>
          <w:p>
            <w:pPr>
              <w:spacing w:after="0" w:line="175" w:lineRule="exact"/>
              <w:rPr>
                <w:sz w:val="20"/>
                <w:szCs w:val="20"/>
                <w:color w:val="auto"/>
              </w:rPr>
            </w:pPr>
            <w:r>
              <w:rPr>
                <w:rFonts w:ascii="Arial" w:cs="Arial" w:eastAsia="Arial" w:hAnsi="Arial"/>
                <w:sz w:val="18"/>
                <w:szCs w:val="18"/>
                <w:color w:val="auto"/>
              </w:rPr>
              <w:t>million, and $9 million during 2025, 2024, and</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product.</w:t>
            </w:r>
          </w:p>
        </w:tc>
        <w:tc>
          <w:tcPr>
            <w:tcW w:w="3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386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customer behavior and requirements can</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2" w:lineRule="exact"/>
              <w:rPr>
                <w:sz w:val="20"/>
                <w:szCs w:val="20"/>
                <w:color w:val="auto"/>
              </w:rPr>
            </w:pPr>
            <w:r>
              <w:rPr>
                <w:rFonts w:ascii="Arial" w:cs="Arial" w:eastAsia="Arial" w:hAnsi="Arial"/>
                <w:sz w:val="18"/>
                <w:szCs w:val="18"/>
                <w:color w:val="auto"/>
              </w:rPr>
              <w:t>2023, respectively. Reserves increased in 2024</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 calculation also uses an estimate of</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cause inventory to become obsolete or</w:t>
            </w: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0" w:lineRule="exact"/>
              <w:rPr>
                <w:sz w:val="20"/>
                <w:szCs w:val="20"/>
                <w:color w:val="auto"/>
              </w:rPr>
            </w:pPr>
            <w:r>
              <w:rPr>
                <w:rFonts w:ascii="Arial" w:cs="Arial" w:eastAsia="Arial" w:hAnsi="Arial"/>
                <w:sz w:val="18"/>
                <w:szCs w:val="18"/>
                <w:color w:val="auto"/>
              </w:rPr>
              <w:t>primarily due to 2024 Restructuring Plan</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slow-moving. Restructuring activity and</w:t>
            </w:r>
          </w:p>
        </w:tc>
        <w:tc>
          <w:tcPr>
            <w:tcW w:w="20" w:type="dxa"/>
            <w:vAlign w:val="bottom"/>
          </w:tcPr>
          <w:p>
            <w:pPr>
              <w:spacing w:after="0"/>
              <w:rPr>
                <w:sz w:val="9"/>
                <w:szCs w:val="9"/>
                <w:color w:val="auto"/>
              </w:rPr>
            </w:pPr>
          </w:p>
        </w:tc>
        <w:tc>
          <w:tcPr>
            <w:tcW w:w="3860" w:type="dxa"/>
            <w:vAlign w:val="bottom"/>
            <w:tcBorders>
              <w:right w:val="single" w:sz="8" w:color="auto"/>
            </w:tcBorders>
            <w:gridSpan w:val="6"/>
            <w:vMerge w:val="restart"/>
          </w:tcPr>
          <w:p>
            <w:pPr>
              <w:spacing w:after="0" w:line="175" w:lineRule="exact"/>
              <w:rPr>
                <w:sz w:val="20"/>
                <w:szCs w:val="20"/>
                <w:color w:val="auto"/>
              </w:rPr>
            </w:pPr>
            <w:r>
              <w:rPr>
                <w:rFonts w:ascii="Arial" w:cs="Arial" w:eastAsia="Arial" w:hAnsi="Arial"/>
                <w:sz w:val="18"/>
                <w:szCs w:val="18"/>
                <w:color w:val="auto"/>
              </w:rPr>
              <w:t>impacts and write-downs of selected products</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the ultimate recoverability of items</w:t>
            </w:r>
          </w:p>
        </w:tc>
        <w:tc>
          <w:tcPr>
            <w:tcW w:w="3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386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82" w:lineRule="exact"/>
              <w:rPr>
                <w:sz w:val="20"/>
                <w:szCs w:val="20"/>
                <w:color w:val="auto"/>
              </w:rPr>
            </w:pPr>
            <w:r>
              <w:rPr>
                <w:rFonts w:ascii="Arial" w:cs="Arial" w:eastAsia="Arial" w:hAnsi="Arial"/>
                <w:sz w:val="18"/>
                <w:szCs w:val="18"/>
                <w:color w:val="auto"/>
              </w:rPr>
              <w:t>decisions to narrow product offerings also</w:t>
            </w:r>
          </w:p>
        </w:tc>
        <w:tc>
          <w:tcPr>
            <w:tcW w:w="20" w:type="dxa"/>
            <w:vAlign w:val="bottom"/>
          </w:tcPr>
          <w:p>
            <w:pPr>
              <w:spacing w:after="0"/>
              <w:rPr>
                <w:sz w:val="9"/>
                <w:szCs w:val="9"/>
                <w:color w:val="auto"/>
              </w:rPr>
            </w:pPr>
          </w:p>
        </w:tc>
        <w:tc>
          <w:tcPr>
            <w:tcW w:w="3860" w:type="dxa"/>
            <w:vAlign w:val="bottom"/>
            <w:tcBorders>
              <w:right w:val="single" w:sz="8" w:color="auto"/>
            </w:tcBorders>
            <w:gridSpan w:val="6"/>
            <w:vMerge w:val="restart"/>
          </w:tcPr>
          <w:p>
            <w:pPr>
              <w:spacing w:after="0" w:line="182" w:lineRule="exact"/>
              <w:rPr>
                <w:sz w:val="20"/>
                <w:szCs w:val="20"/>
                <w:color w:val="auto"/>
              </w:rPr>
            </w:pPr>
            <w:r>
              <w:rPr>
                <w:rFonts w:ascii="Arial" w:cs="Arial" w:eastAsia="Arial" w:hAnsi="Arial"/>
                <w:sz w:val="18"/>
                <w:szCs w:val="18"/>
                <w:color w:val="auto"/>
              </w:rPr>
              <w:t>primarily in our Bedding Products segment.</w:t>
            </w:r>
          </w:p>
        </w:tc>
        <w:tc>
          <w:tcPr>
            <w:tcW w:w="0" w:type="dxa"/>
            <w:vAlign w:val="bottom"/>
          </w:tcPr>
          <w:p>
            <w:pPr>
              <w:spacing w:after="0"/>
              <w:rPr>
                <w:sz w:val="1"/>
                <w:szCs w:val="1"/>
                <w:color w:val="auto"/>
              </w:rPr>
            </w:pPr>
          </w:p>
        </w:tc>
      </w:tr>
      <w:tr>
        <w:trPr>
          <w:trHeight w:val="75"/>
        </w:trPr>
        <w:tc>
          <w:tcPr>
            <w:tcW w:w="3640" w:type="dxa"/>
            <w:vAlign w:val="bottom"/>
            <w:tcBorders>
              <w:left w:val="single" w:sz="8" w:color="auto"/>
              <w:right w:val="single" w:sz="8" w:color="auto"/>
            </w:tcBorders>
            <w:vMerge w:val="restart"/>
          </w:tcPr>
          <w:p>
            <w:pPr>
              <w:ind w:left="40"/>
              <w:spacing w:after="0" w:line="182" w:lineRule="exact"/>
              <w:rPr>
                <w:sz w:val="20"/>
                <w:szCs w:val="20"/>
                <w:color w:val="auto"/>
              </w:rPr>
            </w:pPr>
            <w:r>
              <w:rPr>
                <w:rFonts w:ascii="Arial" w:cs="Arial" w:eastAsia="Arial" w:hAnsi="Arial"/>
                <w:sz w:val="18"/>
                <w:szCs w:val="18"/>
                <w:color w:val="auto"/>
              </w:rPr>
              <w:t>identified as slow-moving, based upon</w:t>
            </w:r>
          </w:p>
        </w:tc>
        <w:tc>
          <w:tcPr>
            <w:tcW w:w="374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386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80" w:lineRule="exact"/>
              <w:rPr>
                <w:sz w:val="20"/>
                <w:szCs w:val="20"/>
                <w:color w:val="auto"/>
              </w:rPr>
            </w:pPr>
            <w:r>
              <w:rPr>
                <w:rFonts w:ascii="Arial" w:cs="Arial" w:eastAsia="Arial" w:hAnsi="Arial"/>
                <w:sz w:val="18"/>
                <w:szCs w:val="18"/>
                <w:color w:val="auto"/>
              </w:rPr>
              <w:t>impact the estimated net realizable value of</w:t>
            </w:r>
          </w:p>
        </w:tc>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historical experience.</w:t>
            </w:r>
          </w:p>
        </w:tc>
        <w:tc>
          <w:tcPr>
            <w:tcW w:w="374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640" w:type="dxa"/>
            <w:vAlign w:val="bottom"/>
            <w:tcBorders>
              <w:left w:val="single" w:sz="8" w:color="auto"/>
              <w:right w:val="single" w:sz="8" w:color="auto"/>
            </w:tcBorders>
            <w:vMerge w:val="continue"/>
          </w:tcPr>
          <w:p>
            <w:pPr>
              <w:spacing w:after="0"/>
              <w:rPr>
                <w:sz w:val="14"/>
                <w:szCs w:val="14"/>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4"/>
                <w:szCs w:val="14"/>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There have been no changes to our policies for</w:t>
            </w:r>
          </w:p>
        </w:tc>
        <w:tc>
          <w:tcPr>
            <w:tcW w:w="0" w:type="dxa"/>
            <w:vAlign w:val="bottom"/>
          </w:tcPr>
          <w:p>
            <w:pPr>
              <w:spacing w:after="0"/>
              <w:rPr>
                <w:sz w:val="1"/>
                <w:szCs w:val="1"/>
                <w:color w:val="auto"/>
              </w:rPr>
            </w:pPr>
          </w:p>
        </w:tc>
      </w:tr>
      <w:tr>
        <w:trPr>
          <w:trHeight w:val="78"/>
        </w:trPr>
        <w:tc>
          <w:tcPr>
            <w:tcW w:w="3640" w:type="dxa"/>
            <w:vAlign w:val="bottom"/>
            <w:tcBorders>
              <w:left w:val="single" w:sz="8" w:color="auto"/>
              <w:right w:val="single" w:sz="8" w:color="auto"/>
            </w:tcBorders>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3860" w:type="dxa"/>
            <w:vAlign w:val="bottom"/>
            <w:tcBorders>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 we had no sales of a given product for</w:t>
            </w:r>
          </w:p>
        </w:tc>
        <w:tc>
          <w:tcPr>
            <w:tcW w:w="3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establishing reserves, and as expected, we are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12 months, those items are generally</w:t>
            </w: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8"/>
                <w:szCs w:val="18"/>
                <w:color w:val="auto"/>
              </w:rPr>
              <w:t>moving closer to our historical obsolescence</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deemed to be obsolete with no value and</w:t>
            </w:r>
          </w:p>
        </w:tc>
        <w:tc>
          <w:tcPr>
            <w:tcW w:w="37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60" w:type="dxa"/>
            <w:vAlign w:val="bottom"/>
            <w:tcBorders>
              <w:right w:val="single" w:sz="8" w:color="auto"/>
            </w:tcBorders>
            <w:gridSpan w:val="6"/>
          </w:tcPr>
          <w:p>
            <w:pPr>
              <w:spacing w:after="0" w:line="188" w:lineRule="exact"/>
              <w:rPr>
                <w:sz w:val="20"/>
                <w:szCs w:val="20"/>
                <w:color w:val="auto"/>
              </w:rPr>
            </w:pPr>
            <w:r>
              <w:rPr>
                <w:rFonts w:ascii="Arial" w:cs="Arial" w:eastAsia="Arial" w:hAnsi="Arial"/>
                <w:sz w:val="18"/>
                <w:szCs w:val="18"/>
                <w:color w:val="auto"/>
              </w:rPr>
              <w:t>levels.</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are written down completely.</w:t>
            </w:r>
          </w:p>
        </w:tc>
        <w:tc>
          <w:tcPr>
            <w:tcW w:w="37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For additional information, see discussions of</w:t>
            </w:r>
          </w:p>
        </w:tc>
        <w:tc>
          <w:tcPr>
            <w:tcW w:w="0" w:type="dxa"/>
            <w:vAlign w:val="bottom"/>
          </w:tcPr>
          <w:p>
            <w:pPr>
              <w:spacing w:after="0"/>
              <w:rPr>
                <w:sz w:val="1"/>
                <w:szCs w:val="1"/>
                <w:color w:val="auto"/>
              </w:rPr>
            </w:pPr>
          </w:p>
        </w:tc>
      </w:tr>
      <w:tr>
        <w:trPr>
          <w:trHeight w:val="81"/>
        </w:trPr>
        <w:tc>
          <w:tcPr>
            <w:tcW w:w="364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6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right w:val="single" w:sz="8" w:color="auto"/>
            </w:tcBorders>
            <w:gridSpan w:val="6"/>
          </w:tcPr>
          <w:p>
            <w:pPr>
              <w:spacing w:after="0" w:line="180" w:lineRule="exact"/>
              <w:rPr>
                <w:sz w:val="20"/>
                <w:szCs w:val="20"/>
                <w:color w:val="auto"/>
              </w:rPr>
            </w:pPr>
            <w:r>
              <w:rPr>
                <w:rFonts w:ascii="Arial" w:cs="Arial" w:eastAsia="Arial" w:hAnsi="Arial"/>
                <w:sz w:val="18"/>
                <w:szCs w:val="18"/>
                <w:color w:val="auto"/>
              </w:rPr>
              <w:t>our inventories in the working capital section</w:t>
            </w:r>
          </w:p>
        </w:tc>
        <w:tc>
          <w:tcPr>
            <w:tcW w:w="0" w:type="dxa"/>
            <w:vAlign w:val="bottom"/>
          </w:tcPr>
          <w:p>
            <w:pPr>
              <w:spacing w:after="0"/>
              <w:rPr>
                <w:sz w:val="1"/>
                <w:szCs w:val="1"/>
                <w:color w:val="auto"/>
              </w:rPr>
            </w:pPr>
          </w:p>
        </w:tc>
      </w:tr>
      <w:tr>
        <w:trPr>
          <w:trHeight w:val="236"/>
        </w:trPr>
        <w:tc>
          <w:tcPr>
            <w:tcW w:w="364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starting on page 53.</w:t>
            </w:r>
          </w:p>
        </w:tc>
        <w:tc>
          <w:tcPr>
            <w:tcW w:w="0" w:type="dxa"/>
            <w:vAlign w:val="bottom"/>
          </w:tcPr>
          <w:p>
            <w:pPr>
              <w:spacing w:after="0"/>
              <w:rPr>
                <w:sz w:val="1"/>
                <w:szCs w:val="1"/>
                <w:color w:val="auto"/>
              </w:rPr>
            </w:pPr>
          </w:p>
        </w:tc>
      </w:tr>
      <w:tr>
        <w:trPr>
          <w:trHeight w:val="475"/>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ind w:left="10500"/>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6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Judgments and Uncertainty</w:t>
            </w:r>
          </w:p>
        </w:tc>
        <w:tc>
          <w:tcPr>
            <w:tcW w:w="3880" w:type="dxa"/>
            <w:vAlign w:val="bottom"/>
            <w:tcBorders>
              <w:top w:val="single" w:sz="8" w:color="auto"/>
              <w:right w:val="single" w:sz="8" w:color="auto"/>
            </w:tcBorders>
          </w:tcPr>
          <w:p>
            <w:pPr>
              <w:ind w:left="20"/>
              <w:spacing w:after="0" w:line="188" w:lineRule="exact"/>
              <w:rPr>
                <w:sz w:val="20"/>
                <w:szCs w:val="20"/>
                <w:color w:val="auto"/>
              </w:rPr>
            </w:pPr>
            <w:r>
              <w:rPr>
                <w:rFonts w:ascii="Arial" w:cs="Arial" w:eastAsia="Arial" w:hAnsi="Arial"/>
                <w:sz w:val="18"/>
                <w:szCs w:val="18"/>
                <w:b w:val="1"/>
                <w:bCs w:val="1"/>
                <w:color w:val="auto"/>
              </w:rPr>
              <w:t>Changes in Estimate and Effect if Actual</w:t>
            </w:r>
          </w:p>
        </w:tc>
        <w:tc>
          <w:tcPr>
            <w:tcW w:w="0" w:type="dxa"/>
            <w:vAlign w:val="bottom"/>
          </w:tcPr>
          <w:p>
            <w:pPr>
              <w:spacing w:after="0"/>
              <w:rPr>
                <w:sz w:val="1"/>
                <w:szCs w:val="1"/>
                <w:color w:val="auto"/>
              </w:rPr>
            </w:pPr>
          </w:p>
        </w:tc>
      </w:tr>
      <w:tr>
        <w:trPr>
          <w:trHeight w:val="241"/>
        </w:trPr>
        <w:tc>
          <w:tcPr>
            <w:tcW w:w="3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740" w:type="dxa"/>
            <w:vAlign w:val="bottom"/>
            <w:tcBorders>
              <w:bottom w:val="single" w:sz="8" w:color="auto"/>
              <w:right w:val="single" w:sz="8" w:color="auto"/>
            </w:tcBorders>
            <w:vMerge w:val="continue"/>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Results Differ from Assumptions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Income Taxes</w:t>
            </w:r>
          </w:p>
        </w:tc>
        <w:tc>
          <w:tcPr>
            <w:tcW w:w="37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In the ordinary course of business, we</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Our tax liability for unrecognized tax</w:t>
            </w:r>
          </w:p>
        </w:tc>
        <w:tc>
          <w:tcPr>
            <w:tcW w:w="388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8"/>
                <w:szCs w:val="18"/>
                <w:color w:val="auto"/>
              </w:rPr>
              <w:t>Changes in U.S. and foreign tax laws could</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must make estimates of the tax treatment</w:t>
            </w: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benefits contains uncertainties because</w:t>
            </w:r>
          </w:p>
        </w:tc>
        <w:tc>
          <w:tcPr>
            <w:tcW w:w="38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impact assumptions related to the taxation and</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right w:val="single" w:sz="8" w:color="auto"/>
            </w:tcBorders>
          </w:tcPr>
          <w:p>
            <w:pPr>
              <w:ind w:left="40"/>
              <w:spacing w:after="0" w:line="180" w:lineRule="exact"/>
              <w:rPr>
                <w:sz w:val="20"/>
                <w:szCs w:val="20"/>
                <w:color w:val="auto"/>
              </w:rPr>
            </w:pPr>
            <w:r>
              <w:rPr>
                <w:rFonts w:ascii="Arial" w:cs="Arial" w:eastAsia="Arial" w:hAnsi="Arial"/>
                <w:sz w:val="18"/>
                <w:szCs w:val="18"/>
                <w:color w:val="auto"/>
              </w:rPr>
              <w:t>of many transactions, even though the</w:t>
            </w:r>
          </w:p>
        </w:tc>
        <w:tc>
          <w:tcPr>
            <w:tcW w:w="3740" w:type="dxa"/>
            <w:vAlign w:val="bottom"/>
            <w:tcBorders>
              <w:right w:val="single" w:sz="8" w:color="auto"/>
            </w:tcBorders>
          </w:tcPr>
          <w:p>
            <w:pPr>
              <w:spacing w:after="0" w:line="180" w:lineRule="exact"/>
              <w:rPr>
                <w:sz w:val="20"/>
                <w:szCs w:val="20"/>
                <w:color w:val="auto"/>
              </w:rPr>
            </w:pPr>
            <w:r>
              <w:rPr>
                <w:rFonts w:ascii="Arial" w:cs="Arial" w:eastAsia="Arial" w:hAnsi="Arial"/>
                <w:sz w:val="18"/>
                <w:szCs w:val="18"/>
                <w:color w:val="auto"/>
              </w:rPr>
              <w:t>management is required to make</w:t>
            </w:r>
          </w:p>
        </w:tc>
        <w:tc>
          <w:tcPr>
            <w:tcW w:w="388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8"/>
                <w:szCs w:val="18"/>
                <w:color w:val="auto"/>
              </w:rPr>
              <w:t>repatriation of certain foreign earnings.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ultimate tax outcome may remain</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assumptions and to apply judgment to</w:t>
            </w: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Reviews and audits by various taxing</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uncertain for some time. These estimates</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estimate the exposures related to our</w:t>
            </w:r>
          </w:p>
        </w:tc>
        <w:tc>
          <w:tcPr>
            <w:tcW w:w="3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become part of the annual income tax</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various filing positions.</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authorities, including China, continue as</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expense reported in our financial</w:t>
            </w:r>
          </w:p>
        </w:tc>
        <w:tc>
          <w:tcPr>
            <w:tcW w:w="374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governments look for ways to raise additional</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statements. Subsequent to year end, we</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effective tax rate is also impacted by</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revenue. Based upon past audit experience, we</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finalize our tax analysis and file income</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do not expect any material changes to our tax</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changes in tax laws, the current mix of</w:t>
            </w:r>
          </w:p>
        </w:tc>
        <w:tc>
          <w:tcPr>
            <w:tcW w:w="3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6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tax returns. Tax authorities periodically</w:t>
            </w:r>
          </w:p>
        </w:tc>
        <w:tc>
          <w:tcPr>
            <w:tcW w:w="3740" w:type="dxa"/>
            <w:vAlign w:val="bottom"/>
            <w:tcBorders>
              <w:right w:val="single" w:sz="8" w:color="auto"/>
            </w:tcBorders>
            <w:vMerge w:val="restart"/>
          </w:tcPr>
          <w:p>
            <w:pPr>
              <w:spacing w:after="0" w:line="188" w:lineRule="exact"/>
              <w:rPr>
                <w:sz w:val="20"/>
                <w:szCs w:val="20"/>
                <w:color w:val="auto"/>
              </w:rPr>
            </w:pPr>
            <w:r>
              <w:rPr>
                <w:rFonts w:ascii="Arial" w:cs="Arial" w:eastAsia="Arial" w:hAnsi="Arial"/>
                <w:sz w:val="18"/>
                <w:szCs w:val="18"/>
                <w:color w:val="auto"/>
              </w:rPr>
              <w:t>earnings by taxing jurisdiction, and the</w:t>
            </w:r>
          </w:p>
        </w:tc>
        <w:tc>
          <w:tcPr>
            <w:tcW w:w="388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3"/>
                <w:szCs w:val="13"/>
                <w:color w:val="auto"/>
              </w:rPr>
              <w:t>liability as a result of this audit activity; however,</w:t>
            </w: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line="175" w:lineRule="exact"/>
              <w:rPr>
                <w:sz w:val="20"/>
                <w:szCs w:val="20"/>
                <w:color w:val="auto"/>
              </w:rPr>
            </w:pPr>
            <w:r>
              <w:rPr>
                <w:rFonts w:ascii="Arial" w:cs="Arial" w:eastAsia="Arial" w:hAnsi="Arial"/>
                <w:sz w:val="18"/>
                <w:szCs w:val="18"/>
                <w:color w:val="auto"/>
              </w:rPr>
              <w:t>audit these income tax returns and</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restart"/>
          </w:tcPr>
          <w:p>
            <w:pPr>
              <w:ind w:left="20"/>
              <w:spacing w:after="0" w:line="175" w:lineRule="exact"/>
              <w:rPr>
                <w:sz w:val="20"/>
                <w:szCs w:val="20"/>
                <w:color w:val="auto"/>
              </w:rPr>
            </w:pPr>
            <w:r>
              <w:rPr>
                <w:rFonts w:ascii="Arial" w:cs="Arial" w:eastAsia="Arial" w:hAnsi="Arial"/>
                <w:sz w:val="18"/>
                <w:szCs w:val="18"/>
                <w:color w:val="auto"/>
                <w:w w:val="99"/>
              </w:rPr>
              <w:t>we could incur additional tax expense if we have</w:t>
            </w:r>
          </w:p>
        </w:tc>
        <w:tc>
          <w:tcPr>
            <w:tcW w:w="0" w:type="dxa"/>
            <w:vAlign w:val="bottom"/>
          </w:tcPr>
          <w:p>
            <w:pPr>
              <w:spacing w:after="0"/>
              <w:rPr>
                <w:sz w:val="1"/>
                <w:szCs w:val="1"/>
                <w:color w:val="auto"/>
              </w:rPr>
            </w:pPr>
          </w:p>
        </w:tc>
      </w:tr>
      <w:tr>
        <w:trPr>
          <w:trHeight w:val="107"/>
        </w:trPr>
        <w:tc>
          <w:tcPr>
            <w:tcW w:w="364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spacing w:after="0" w:line="175" w:lineRule="exact"/>
              <w:rPr>
                <w:sz w:val="20"/>
                <w:szCs w:val="20"/>
                <w:color w:val="auto"/>
              </w:rPr>
            </w:pPr>
            <w:r>
              <w:rPr>
                <w:rFonts w:ascii="Arial" w:cs="Arial" w:eastAsia="Arial" w:hAnsi="Arial"/>
                <w:sz w:val="18"/>
                <w:szCs w:val="18"/>
                <w:color w:val="auto"/>
              </w:rPr>
              <w:t>results of current tax audits and</w:t>
            </w:r>
          </w:p>
        </w:tc>
        <w:tc>
          <w:tcPr>
            <w:tcW w:w="3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examine our tax filing positions, including</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audit adjustments higher than recent historical</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assessments.</w:t>
            </w:r>
          </w:p>
        </w:tc>
        <w:tc>
          <w:tcPr>
            <w:tcW w:w="3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6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(among other things) the timing and</w:t>
            </w:r>
          </w:p>
        </w:tc>
        <w:tc>
          <w:tcPr>
            <w:tcW w:w="3740" w:type="dxa"/>
            <w:vAlign w:val="bottom"/>
            <w:tcBorders>
              <w:right w:val="single" w:sz="8" w:color="auto"/>
            </w:tcBorders>
          </w:tcPr>
          <w:p>
            <w:pPr>
              <w:spacing w:after="0"/>
              <w:rPr>
                <w:sz w:val="10"/>
                <w:szCs w:val="10"/>
                <w:color w:val="auto"/>
              </w:rPr>
            </w:pPr>
          </w:p>
        </w:tc>
        <w:tc>
          <w:tcPr>
            <w:tcW w:w="388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3"/>
                <w:szCs w:val="13"/>
                <w:color w:val="auto"/>
              </w:rPr>
              <w:t>experience.</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amounts of deductions, and the allocation</w:t>
            </w: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At December 31, 2025 and 2024, we had</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of income among tax jurisdictions. If</w:t>
            </w:r>
          </w:p>
        </w:tc>
        <w:tc>
          <w:tcPr>
            <w:tcW w:w="3740" w:type="dxa"/>
            <w:vAlign w:val="bottom"/>
            <w:tcBorders>
              <w:right w:val="single" w:sz="8" w:color="auto"/>
            </w:tcBorders>
            <w:vMerge w:val="continue"/>
          </w:tcPr>
          <w:p>
            <w:pPr>
              <w:spacing w:after="0"/>
              <w:rPr>
                <w:sz w:val="5"/>
                <w:szCs w:val="5"/>
                <w:color w:val="auto"/>
              </w:rPr>
            </w:pP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We believe that appropriate valuation</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$153 million and $148 million, respectively,</w:t>
            </w:r>
          </w:p>
        </w:tc>
        <w:tc>
          <w:tcPr>
            <w:tcW w:w="3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necessary, we adjust income tax expense</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of net deferred tax assets on our balance</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allowances have been recorded as necessary.</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in our financial statements in the periods</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sheet. The ultimate realization of these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However, if earnings expectations or other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8"/>
                <w:szCs w:val="18"/>
                <w:color w:val="auto"/>
              </w:rPr>
              <w:t>in which the actual outcome becomes</w:t>
            </w: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deferred tax assets is dependent upon the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assumptions change such that additional</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ind w:left="40"/>
              <w:spacing w:after="0" w:line="188" w:lineRule="exact"/>
              <w:rPr>
                <w:sz w:val="20"/>
                <w:szCs w:val="20"/>
                <w:color w:val="auto"/>
              </w:rPr>
            </w:pPr>
            <w:r>
              <w:rPr>
                <w:rFonts w:ascii="Arial" w:cs="Arial" w:eastAsia="Arial" w:hAnsi="Arial"/>
                <w:sz w:val="18"/>
                <w:szCs w:val="18"/>
                <w:color w:val="auto"/>
              </w:rPr>
              <w:t>more certain.</w:t>
            </w: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amount, source, and timing of future</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valuation allowances are required, we could</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taxable income. In cases where we believe</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incur additional tax expense. Likewise, if fewer</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it is more likely than not that we may not</w:t>
            </w:r>
          </w:p>
        </w:tc>
        <w:tc>
          <w:tcPr>
            <w:tcW w:w="3880" w:type="dxa"/>
            <w:vAlign w:val="bottom"/>
            <w:tcBorders>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valuation allowances are needed, we could</w:t>
            </w:r>
          </w:p>
        </w:tc>
        <w:tc>
          <w:tcPr>
            <w:tcW w:w="0" w:type="dxa"/>
            <w:vAlign w:val="bottom"/>
          </w:tcPr>
          <w:p>
            <w:pPr>
              <w:spacing w:after="0"/>
              <w:rPr>
                <w:sz w:val="1"/>
                <w:szCs w:val="1"/>
                <w:color w:val="auto"/>
              </w:rPr>
            </w:pPr>
          </w:p>
        </w:tc>
      </w:tr>
      <w:tr>
        <w:trPr>
          <w:trHeight w:val="188"/>
        </w:trPr>
        <w:tc>
          <w:tcPr>
            <w:tcW w:w="364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line="188" w:lineRule="exact"/>
              <w:rPr>
                <w:sz w:val="20"/>
                <w:szCs w:val="20"/>
                <w:color w:val="auto"/>
              </w:rPr>
            </w:pPr>
            <w:r>
              <w:rPr>
                <w:rFonts w:ascii="Arial" w:cs="Arial" w:eastAsia="Arial" w:hAnsi="Arial"/>
                <w:sz w:val="18"/>
                <w:szCs w:val="18"/>
                <w:color w:val="auto"/>
              </w:rPr>
              <w:t>realize the future potential tax benefits, we</w:t>
            </w:r>
          </w:p>
        </w:tc>
        <w:tc>
          <w:tcPr>
            <w:tcW w:w="3880" w:type="dxa"/>
            <w:vAlign w:val="bottom"/>
            <w:tcBorders>
              <w:right w:val="single" w:sz="8" w:color="auto"/>
            </w:tcBorders>
          </w:tcPr>
          <w:p>
            <w:pPr>
              <w:ind w:left="20"/>
              <w:spacing w:after="0" w:line="188" w:lineRule="exact"/>
              <w:rPr>
                <w:sz w:val="20"/>
                <w:szCs w:val="20"/>
                <w:color w:val="auto"/>
              </w:rPr>
            </w:pPr>
            <w:r>
              <w:rPr>
                <w:rFonts w:ascii="Arial" w:cs="Arial" w:eastAsia="Arial" w:hAnsi="Arial"/>
                <w:sz w:val="18"/>
                <w:szCs w:val="18"/>
                <w:color w:val="auto"/>
              </w:rPr>
              <w:t>incur reduced tax expense.</w:t>
            </w:r>
          </w:p>
        </w:tc>
        <w:tc>
          <w:tcPr>
            <w:tcW w:w="0" w:type="dxa"/>
            <w:vAlign w:val="bottom"/>
          </w:tcPr>
          <w:p>
            <w:pPr>
              <w:spacing w:after="0"/>
              <w:rPr>
                <w:sz w:val="1"/>
                <w:szCs w:val="1"/>
                <w:color w:val="auto"/>
              </w:rPr>
            </w:pPr>
          </w:p>
        </w:tc>
      </w:tr>
      <w:tr>
        <w:trPr>
          <w:trHeight w:val="174"/>
        </w:trPr>
        <w:tc>
          <w:tcPr>
            <w:tcW w:w="364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establish a valuation allowance against</w:t>
            </w:r>
          </w:p>
        </w:tc>
        <w:tc>
          <w:tcPr>
            <w:tcW w:w="3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4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them.</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CONTINGENCIES</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27"/>
          <w:szCs w:val="27"/>
          <w:b w:val="1"/>
          <w:bCs w:val="1"/>
          <w:color w:val="auto"/>
        </w:rPr>
        <w:t>Legal Contingencies</w:t>
      </w:r>
    </w:p>
    <w:p>
      <w:pPr>
        <w:spacing w:after="0" w:line="89" w:lineRule="exact"/>
        <w:rPr>
          <w:sz w:val="20"/>
          <w:szCs w:val="20"/>
          <w:color w:val="auto"/>
        </w:rPr>
      </w:pPr>
    </w:p>
    <w:p>
      <w:pPr>
        <w:ind w:right="620" w:firstLine="402"/>
        <w:spacing w:after="0" w:line="282" w:lineRule="auto"/>
        <w:rPr>
          <w:sz w:val="20"/>
          <w:szCs w:val="20"/>
          <w:color w:val="auto"/>
        </w:rPr>
      </w:pPr>
      <w:r>
        <w:rPr>
          <w:rFonts w:ascii="Arial" w:cs="Arial" w:eastAsia="Arial" w:hAnsi="Arial"/>
          <w:sz w:val="18"/>
          <w:szCs w:val="18"/>
          <w:color w:val="auto"/>
        </w:rPr>
        <w:t>We are exposed to legal contingencies that, if realized, could have a material negative impact on our financial condition, results of operations, and cash flows.</w:t>
      </w:r>
    </w:p>
    <w:p>
      <w:pPr>
        <w:spacing w:after="0" w:line="36" w:lineRule="exact"/>
        <w:rPr>
          <w:sz w:val="20"/>
          <w:szCs w:val="20"/>
          <w:color w:val="auto"/>
        </w:rPr>
      </w:pPr>
    </w:p>
    <w:p>
      <w:pPr>
        <w:ind w:right="180" w:firstLine="402"/>
        <w:spacing w:after="0" w:line="254" w:lineRule="auto"/>
        <w:rPr>
          <w:sz w:val="20"/>
          <w:szCs w:val="20"/>
          <w:color w:val="auto"/>
        </w:rPr>
      </w:pPr>
      <w:r>
        <w:rPr>
          <w:rFonts w:ascii="Arial" w:cs="Arial" w:eastAsia="Arial" w:hAnsi="Arial"/>
          <w:sz w:val="18"/>
          <w:szCs w:val="18"/>
          <w:color w:val="auto"/>
        </w:rPr>
        <w:t>Although we deny liability in all currently threatened or pending legal proceedings, we have recorded an immaterial aggregate contingency accrual in all three years (which does not include accrued expenses related to employment, workers' compensation, vehicle-related personal injury, product and general liability claims, taxation issues, and environmental matters). Based on current known facts, as of December 31, 2025, aggregate reasonably possible (but not probable, and therefore not accrued) losses in excess of the accruals for legal contingencies are estimated to be $26 million. If our assumptions or analyses regarding any of our contingencies are incorrect, or if facts change or future litigation arises, we could realize losses in excess of the recorded accruals (including losses in excess of the $26 million referenced above), which could have a material negative impact on our financial condition, results of operations, and cash flows.</w:t>
      </w:r>
    </w:p>
    <w:p>
      <w:pPr>
        <w:spacing w:after="0" w:line="62" w:lineRule="exact"/>
        <w:rPr>
          <w:sz w:val="20"/>
          <w:szCs w:val="20"/>
          <w:color w:val="auto"/>
        </w:rPr>
      </w:pPr>
    </w:p>
    <w:p>
      <w:pPr>
        <w:jc w:val="both"/>
        <w:ind w:right="60" w:firstLine="402"/>
        <w:spacing w:after="0" w:line="282" w:lineRule="auto"/>
        <w:rPr>
          <w:sz w:val="20"/>
          <w:szCs w:val="20"/>
          <w:color w:val="auto"/>
        </w:rPr>
      </w:pPr>
      <w:r>
        <w:rPr>
          <w:rFonts w:ascii="Arial" w:cs="Arial" w:eastAsia="Arial" w:hAnsi="Arial"/>
          <w:sz w:val="18"/>
          <w:szCs w:val="18"/>
          <w:color w:val="auto"/>
        </w:rPr>
        <w:t xml:space="preserve">For more information regarding our legal contingencies, see </w:t>
      </w:r>
      <w:r>
        <w:rPr>
          <w:rFonts w:ascii="Arial" w:cs="Arial" w:eastAsia="Arial" w:hAnsi="Arial"/>
          <w:sz w:val="18"/>
          <w:szCs w:val="18"/>
          <w:u w:val="single" w:color="auto"/>
          <w:color w:val="0000FF"/>
        </w:rPr>
        <w:t>Item 3. Legal Proceedings</w:t>
      </w:r>
      <w:r>
        <w:rPr>
          <w:rFonts w:ascii="Arial" w:cs="Arial" w:eastAsia="Arial" w:hAnsi="Arial"/>
          <w:sz w:val="18"/>
          <w:szCs w:val="18"/>
          <w:color w:val="auto"/>
        </w:rPr>
        <w:t xml:space="preserve"> on page 30 and </w:t>
      </w:r>
      <w:r>
        <w:rPr>
          <w:rFonts w:ascii="Arial" w:cs="Arial" w:eastAsia="Arial" w:hAnsi="Arial"/>
          <w:sz w:val="18"/>
          <w:szCs w:val="18"/>
          <w:u w:val="single" w:color="auto"/>
          <w:color w:val="0000FF"/>
        </w:rPr>
        <w:t>Note T</w:t>
      </w:r>
      <w:r>
        <w:rPr>
          <w:rFonts w:ascii="Arial" w:cs="Arial" w:eastAsia="Arial" w:hAnsi="Arial"/>
          <w:sz w:val="18"/>
          <w:szCs w:val="18"/>
          <w:color w:val="auto"/>
        </w:rPr>
        <w:t xml:space="preserve"> on page 122 of the Notes to Consolidated Financial Statements, which is incorporated herein by reference.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Chinese Tax Authority Reviews</w:t>
      </w:r>
    </w:p>
    <w:p>
      <w:pPr>
        <w:spacing w:after="0" w:line="115" w:lineRule="exact"/>
        <w:rPr>
          <w:sz w:val="20"/>
          <w:szCs w:val="20"/>
          <w:color w:val="auto"/>
        </w:rPr>
      </w:pPr>
    </w:p>
    <w:p>
      <w:pPr>
        <w:jc w:val="both"/>
        <w:ind w:right="40" w:firstLine="402"/>
        <w:spacing w:after="0" w:line="265" w:lineRule="auto"/>
        <w:rPr>
          <w:sz w:val="20"/>
          <w:szCs w:val="20"/>
          <w:color w:val="auto"/>
        </w:rPr>
      </w:pPr>
      <w:r>
        <w:rPr>
          <w:rFonts w:ascii="Arial" w:cs="Arial" w:eastAsia="Arial" w:hAnsi="Arial"/>
          <w:sz w:val="18"/>
          <w:szCs w:val="18"/>
          <w:color w:val="auto"/>
        </w:rPr>
        <w:t>China has recently intensified its review of tax compliance among foreign enterprises. We underwent reviews in 2023 and 2024 resulting in no material findings, while in 2025 and early 2026, we have seen an increased number of these reviews initiated by Chinese tax authorities. We believe we have valid defenses and</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intend to rigorously contest any assessments through the administrative appeal process in China. While we believe we will be successful, we could incur additional tax expense that could have a material negative effect on our results of operations or financial condition.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Climate Change</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Transition Risks</w:t>
      </w:r>
    </w:p>
    <w:p>
      <w:pPr>
        <w:spacing w:after="0" w:line="89" w:lineRule="exact"/>
        <w:rPr>
          <w:sz w:val="20"/>
          <w:szCs w:val="20"/>
          <w:color w:val="auto"/>
        </w:rPr>
      </w:pPr>
    </w:p>
    <w:p>
      <w:pPr>
        <w:ind w:right="60" w:firstLine="402"/>
        <w:spacing w:after="0" w:line="252" w:lineRule="auto"/>
        <w:rPr>
          <w:sz w:val="20"/>
          <w:szCs w:val="20"/>
          <w:color w:val="auto"/>
        </w:rPr>
      </w:pPr>
      <w:r>
        <w:rPr>
          <w:rFonts w:ascii="Arial" w:cs="Arial" w:eastAsia="Arial" w:hAnsi="Arial"/>
          <w:sz w:val="18"/>
          <w:szCs w:val="18"/>
          <w:u w:val="single" w:color="auto"/>
          <w:color w:val="auto"/>
        </w:rPr>
        <w:t>Change in Laws, Policies, and Regulations.</w:t>
      </w:r>
      <w:r>
        <w:rPr>
          <w:rFonts w:ascii="Arial" w:cs="Arial" w:eastAsia="Arial" w:hAnsi="Arial"/>
          <w:sz w:val="18"/>
          <w:szCs w:val="18"/>
          <w:color w:val="auto"/>
        </w:rPr>
        <w:t xml:space="preserve"> Climate change is commonly attributed to increased greenhouse gas (GHG) emissions, including carbon dioxide, which has led to significant legislative and regulatory efforts to limit such emissions. At December 31, 2025, we had 104 manufacturing facilities in 18 countries, primarily located in North America, Europe, and Asia. We also maintain a fleet of semi-trucks that emit GHG. Certain transition risks, or risks related to the process of reducing our carbon footprint, could materially affect our business, capital expenditures, results of operations, financial condition, competitive position, and reputation. One transition risk is the change in laws, regulations, and policies that could impose significant operational and compliance burdens. Also, if our customers incur additional costs to comply with such laws, regulations, and policies, impacting their ability to operate at the same or similar levels, the demand for our products could be adversely affected. Inconsistent climate legislation in jurisdictions where we operate creates economic and regulatory uncertainty and could increase our costs if such laws, regulations, or policies impose significant operational restrictions and compliance requirements on us. Non-compliance with such laws, regulations, and policies could also negatively impact our reputation. To date, however, we have not experienced a material impact from these legislative and regulatory efforts.</w:t>
      </w:r>
    </w:p>
    <w:p>
      <w:pPr>
        <w:spacing w:after="0" w:line="62"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u w:val="single" w:color="auto"/>
          <w:color w:val="auto"/>
        </w:rPr>
        <w:t>Market Transition.</w:t>
      </w:r>
      <w:r>
        <w:rPr>
          <w:rFonts w:ascii="Arial" w:cs="Arial" w:eastAsia="Arial" w:hAnsi="Arial"/>
          <w:sz w:val="18"/>
          <w:szCs w:val="18"/>
          <w:color w:val="auto"/>
        </w:rPr>
        <w:t xml:space="preserve"> We manufacture various automotive components, including lumbar support and massage systems for seating, seat suspension systems, motors, actuators, and cables. For decades, automotive manufacturers have sought lightweight components to increase the fuel efficiency of automobiles. Replacing traditional steel components with lightweight alternative components can directly reduce vehicle weight and fuel consumption. This increased fuel efficiency also indirectly reduces GHG emissions. If we are unable to react to technological changes, develop new and innovative products, or respond to evolving business trends, including continuing to produce comparatively lightweight components, our share in these markets could be negatively impacted.</w:t>
      </w:r>
    </w:p>
    <w:p>
      <w:pPr>
        <w:spacing w:after="0" w:line="48" w:lineRule="exact"/>
        <w:rPr>
          <w:sz w:val="20"/>
          <w:szCs w:val="20"/>
          <w:color w:val="auto"/>
        </w:rPr>
      </w:pPr>
    </w:p>
    <w:p>
      <w:pPr>
        <w:ind w:firstLine="402"/>
        <w:spacing w:after="0" w:line="254" w:lineRule="auto"/>
        <w:rPr>
          <w:sz w:val="20"/>
          <w:szCs w:val="20"/>
          <w:color w:val="auto"/>
        </w:rPr>
      </w:pPr>
      <w:r>
        <w:rPr>
          <w:rFonts w:ascii="Arial" w:cs="Arial" w:eastAsia="Arial" w:hAnsi="Arial"/>
          <w:sz w:val="18"/>
          <w:szCs w:val="18"/>
          <w:color w:val="auto"/>
        </w:rPr>
        <w:t>Driven in part by climate change legislation, the global automotive industry has experienced a rapid acceleration in the transition from internal combustion engine vehicles to electric vehicles (EVs). China has emerged as a global leader in EV adoption, with Chinese EV manufacturers gaining market share at the expense of our multinational automotive OEM customer base. This shift has intensified competitive pressures across traditional automotive supply chains and has begun to impact our market share, particularly in regions where Chinese EV manufacturers have seen success in competing on price. If our multinational automotive OEM customers are unable to compete effectively with the Chinese EV manufacturers, their market share could continue to be further reduced, which could continue to negatively impact the demand for our Automotive products.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Physical Climate Change Risks</w:t>
      </w:r>
    </w:p>
    <w:p>
      <w:pPr>
        <w:spacing w:after="0" w:line="102" w:lineRule="exact"/>
        <w:rPr>
          <w:sz w:val="20"/>
          <w:szCs w:val="20"/>
          <w:color w:val="auto"/>
        </w:rPr>
      </w:pPr>
    </w:p>
    <w:p>
      <w:pPr>
        <w:ind w:right="280" w:firstLine="402"/>
        <w:spacing w:after="0" w:line="259" w:lineRule="auto"/>
        <w:rPr>
          <w:sz w:val="20"/>
          <w:szCs w:val="20"/>
          <w:color w:val="auto"/>
        </w:rPr>
      </w:pPr>
      <w:r>
        <w:rPr>
          <w:rFonts w:ascii="Arial" w:cs="Arial" w:eastAsia="Arial" w:hAnsi="Arial"/>
          <w:sz w:val="18"/>
          <w:szCs w:val="18"/>
          <w:u w:val="single" w:color="auto"/>
          <w:color w:val="auto"/>
        </w:rPr>
        <w:t>Direct Physical Effects.</w:t>
      </w:r>
      <w:r>
        <w:rPr>
          <w:rFonts w:ascii="Arial" w:cs="Arial" w:eastAsia="Arial" w:hAnsi="Arial"/>
          <w:sz w:val="18"/>
          <w:szCs w:val="18"/>
          <w:color w:val="auto"/>
        </w:rPr>
        <w:t xml:space="preserve"> The acute and chronic physical effects of severe weather-related events, natural disasters, and/or significant climate pattern changes could have an increasingly adverse impact our business and customers. As mentioned above, at December 31, 2025, we had 104 manufacturing facilities in 18 countries, primarily in North America, Europe, and Asia. We serve thousands of customers worldwide. In 2025, our customers were located in approximately 100 countries.</w:t>
      </w:r>
    </w:p>
    <w:p>
      <w:pPr>
        <w:spacing w:after="0" w:line="45" w:lineRule="exact"/>
        <w:rPr>
          <w:sz w:val="20"/>
          <w:szCs w:val="20"/>
          <w:color w:val="auto"/>
        </w:rPr>
      </w:pPr>
    </w:p>
    <w:p>
      <w:pPr>
        <w:ind w:firstLine="402"/>
        <w:spacing w:after="0" w:line="257" w:lineRule="auto"/>
        <w:rPr>
          <w:sz w:val="20"/>
          <w:szCs w:val="20"/>
          <w:color w:val="auto"/>
        </w:rPr>
      </w:pPr>
      <w:r>
        <w:rPr>
          <w:rFonts w:ascii="Arial" w:cs="Arial" w:eastAsia="Arial" w:hAnsi="Arial"/>
          <w:sz w:val="18"/>
          <w:szCs w:val="18"/>
          <w:color w:val="auto"/>
        </w:rPr>
        <w:t>Although our diverse geographical manufacturing footprint and our broad geographical customer base mitigates the potential physical risks of any local or regional severe weather-related event having a material effect on our operations and results, the increased frequency and severity of such weather-related events could damage our physical assets, local infrastructure, transportation systems, water delivery systems, and our customers' or suppliers' operations, and disrupt our manufacturing operations (including our steel rod mill and wire drawing mills), all of which could harm our business, results of operations, and financial condition.</w:t>
      </w:r>
    </w:p>
    <w:p>
      <w:pPr>
        <w:spacing w:after="0" w:line="58"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u w:val="single" w:color="auto"/>
          <w:color w:val="auto"/>
        </w:rPr>
        <w:t>Indirect Physical Effects.</w:t>
      </w:r>
      <w:r>
        <w:rPr>
          <w:rFonts w:ascii="Arial" w:cs="Arial" w:eastAsia="Arial" w:hAnsi="Arial"/>
          <w:sz w:val="18"/>
          <w:szCs w:val="18"/>
          <w:color w:val="auto"/>
        </w:rPr>
        <w:t xml:space="preserve"> The physical effects of climate change could continue to adversely impact our supply chain. In the past, we experienced (due, in part, to severe weather-related impacts) supply shortages in chemicals, which restricted foam supply and constrained overall mattress production in the bedding industry.</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reduced our production levels and increased our cost of chemicals and foam. Severe weather impacts could also reduce the supply of other products in our supply chain, resulting in higher prices for our products and the resources needed to produce them. If we are unable to secure an adequate and timely supply of raw materials and products in our supply chain, or the cost of these raw materials or products materially increases, it could negatively impact our business, results of operations, and financial condition.</w:t>
      </w:r>
    </w:p>
    <w:p>
      <w:pPr>
        <w:spacing w:after="0" w:line="45" w:lineRule="exact"/>
        <w:rPr>
          <w:sz w:val="20"/>
          <w:szCs w:val="20"/>
          <w:color w:val="auto"/>
        </w:rPr>
      </w:pPr>
    </w:p>
    <w:p>
      <w:pPr>
        <w:ind w:right="260" w:firstLine="402"/>
        <w:spacing w:after="0" w:line="265" w:lineRule="auto"/>
        <w:rPr>
          <w:sz w:val="20"/>
          <w:szCs w:val="20"/>
          <w:color w:val="auto"/>
        </w:rPr>
      </w:pPr>
      <w:r>
        <w:rPr>
          <w:rFonts w:ascii="Arial" w:cs="Arial" w:eastAsia="Arial" w:hAnsi="Arial"/>
          <w:sz w:val="18"/>
          <w:szCs w:val="18"/>
          <w:color w:val="auto"/>
        </w:rPr>
        <w:t>In recent years, drought conditions lowered the water levels of the Mississippi River and Panama Canal, reducing traffic through these waterways and impacting some of our shipments. Although these issues did not materially impact our results of operations, additional logistical disruptions could result in additional costs and delays in our ability to deliver products timely to certain customers.</w:t>
      </w:r>
    </w:p>
    <w:p>
      <w:pPr>
        <w:spacing w:after="0" w:line="52"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In addition, although the cost has not been material to our business, results of operations, and financial condition, severe weather-related incidents have resulted and may, in the future, result in increased costs of our property insurance.</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27"/>
          <w:szCs w:val="27"/>
          <w:b w:val="1"/>
          <w:bCs w:val="1"/>
          <w:color w:val="auto"/>
        </w:rPr>
        <w:t>GHG Reduction Strategy and Compliance Costs</w:t>
      </w:r>
    </w:p>
    <w:p>
      <w:pPr>
        <w:spacing w:after="0" w:line="89"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To date, we have not experienced material climate-related compliance costs. However, evaluating opportunities to reduce our emissions, setting GHG emissions reduction goals, and measuring performance in achieving those goals are part of our sustainability and corporate governance strategy. We completed our GHG emissions inventory covering 2019 through 2024. To ensure our information is complete and accurate, we engaged a third-party limited assurance provider for these years. Our emissions inventory includes Scope 1 and Scope 2 carbon dioxide equivalent emissions. We considered the principles and guidance of the GHG Protocol Corporate Accounting and Reporting Standard. At the end of 2024, our total GHG emissions, measured using a market-based approach, were approximately 21% less than our combined Scope 1 and 2 GHG emissions over our baseline year of 2019, which was due in significant part to the decrease in production over the same time period.</w:t>
      </w:r>
    </w:p>
    <w:p>
      <w:pPr>
        <w:spacing w:after="0" w:line="51" w:lineRule="exact"/>
        <w:rPr>
          <w:sz w:val="20"/>
          <w:szCs w:val="20"/>
          <w:color w:val="auto"/>
        </w:rPr>
      </w:pPr>
    </w:p>
    <w:p>
      <w:pPr>
        <w:ind w:right="40" w:firstLine="402"/>
        <w:spacing w:after="0" w:line="251" w:lineRule="auto"/>
        <w:rPr>
          <w:sz w:val="20"/>
          <w:szCs w:val="20"/>
          <w:color w:val="auto"/>
        </w:rPr>
      </w:pPr>
      <w:r>
        <w:rPr>
          <w:rFonts w:ascii="Arial" w:cs="Arial" w:eastAsia="Arial" w:hAnsi="Arial"/>
          <w:sz w:val="17"/>
          <w:szCs w:val="17"/>
          <w:color w:val="auto"/>
        </w:rPr>
        <w:t>Our baseline measurement informed our long-term GHG emissions reduction strategy, including setting GHG reduction goals and other key performance areas. Our GHG emissions reduction strategy will continue to evolve, but we have established GHG emissions reduction goals which can be found in Addendum 1 to our Sustainability Progress Report available at www.leggett.com/sustainability. Our ability to achieve any stated goal is subject to numerous factors and conditions, many of which are outside of our control, including but not limited to, evolving regulatory requirements affecting sustainability standards or disclosures or imposing different requirements, and the pace of changes</w:t>
      </w:r>
    </w:p>
    <w:p>
      <w:pPr>
        <w:spacing w:after="0" w:line="1"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available materials and technology. Neither our Sustainability Progress Report, Addendum 1 to such report, nor the Leggett website, constitute part of this Annual Report on Form 10-K.</w:t>
      </w:r>
    </w:p>
    <w:p>
      <w:pPr>
        <w:spacing w:after="0" w:line="59" w:lineRule="exact"/>
        <w:rPr>
          <w:sz w:val="20"/>
          <w:szCs w:val="20"/>
          <w:color w:val="auto"/>
        </w:rPr>
      </w:pPr>
    </w:p>
    <w:p>
      <w:pPr>
        <w:ind w:right="40" w:firstLine="402"/>
        <w:spacing w:after="0" w:line="244" w:lineRule="auto"/>
        <w:rPr>
          <w:sz w:val="20"/>
          <w:szCs w:val="20"/>
          <w:color w:val="auto"/>
        </w:rPr>
      </w:pPr>
      <w:r>
        <w:rPr>
          <w:rFonts w:ascii="Arial" w:cs="Arial" w:eastAsia="Arial" w:hAnsi="Arial"/>
          <w:sz w:val="18"/>
          <w:szCs w:val="18"/>
          <w:color w:val="auto"/>
        </w:rPr>
        <w:t>Our key initiatives for 2026 include undertaking our first Scope 3 emissions inventory and preparing for and complying with new reporting requirements. We have developed preliminary estimates of capital expenditures and operating costs that may be required to implement our GHG emissions reduction strategy. Based on our preliminary analysis, we do not expect that such capital expenditures or operating costs will be material to our financial condition or results of operations.</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30"/>
          <w:szCs w:val="30"/>
          <w:b w:val="1"/>
          <w:bCs w:val="1"/>
          <w:color w:val="auto"/>
        </w:rPr>
        <w:t>Cybersecurity Risk</w:t>
      </w:r>
    </w:p>
    <w:p>
      <w:pPr>
        <w:spacing w:after="0" w:line="115"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rely on information systems to obtain, process, analyze, and manage data, as well as to facilitate the manufacture and distribution of inventory to and from our facilities. We receive, process, and ship orders, manage the billing of and collections from our customers, and manage the accounting for and payment to our vendors. We also manage our production processes with certain industrial control systems. Consequently, we are subject to cybersecurity risk.</w:t>
      </w:r>
    </w:p>
    <w:p>
      <w:pPr>
        <w:spacing w:after="0" w:line="58"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Although we have purchased broad form cyber insurance coverage and strive to provide a balanced level of cybersecurity protections, cybersecurity risk has increased due to growing sophistication of cybersecurity adversaries, as well as the increased frequency of cybersecurity attacks. As such, information technology failures or cybersecurity breaches could still create system disruptions or unauthorized disclosure or alterations of confidential information and disruptions to the systems of our third-party suppliers and providers. We cannot be certain that the attacker’s capabilities will not compromise our cybersecurity defenses surrounding our information systems or bypass our detection capabilities, including those resulting from ransomware attached to our industrial control systems. If these systems are interrupted or damaged by any incident or fail for any extended period of time, then our results of operations could be adversely affected. We may incur material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remediation costs and cybersecurity protection costs, lost revenues resulting from unauthorized use of proprietary information, material litigation costs, increases in insurance premiums, reputational damage, damage to our competitiveness, and negative impact on our stock price and long-term shareholder value. We may also be required to devote significant management resources and expend significant additional resources to address problems created by any such interruption, damage, or failure.</w:t>
      </w:r>
    </w:p>
    <w:p>
      <w:pPr>
        <w:spacing w:after="0" w:line="58" w:lineRule="exact"/>
        <w:rPr>
          <w:sz w:val="20"/>
          <w:szCs w:val="20"/>
          <w:color w:val="auto"/>
        </w:rPr>
      </w:pPr>
    </w:p>
    <w:p>
      <w:pPr>
        <w:jc w:val="both"/>
        <w:ind w:right="20" w:firstLine="402"/>
        <w:spacing w:after="0" w:line="282" w:lineRule="auto"/>
        <w:rPr>
          <w:sz w:val="20"/>
          <w:szCs w:val="20"/>
          <w:color w:val="auto"/>
        </w:rPr>
      </w:pPr>
      <w:r>
        <w:rPr>
          <w:rFonts w:ascii="Arial" w:cs="Arial" w:eastAsia="Arial" w:hAnsi="Arial"/>
          <w:sz w:val="18"/>
          <w:szCs w:val="18"/>
          <w:color w:val="auto"/>
        </w:rPr>
        <w:t xml:space="preserve">For more information regarding cybersecurity risks, refer to </w:t>
      </w:r>
      <w:r>
        <w:rPr>
          <w:rFonts w:ascii="Arial" w:cs="Arial" w:eastAsia="Arial" w:hAnsi="Arial"/>
          <w:sz w:val="18"/>
          <w:szCs w:val="18"/>
          <w:u w:val="single" w:color="auto"/>
          <w:color w:val="0000FF"/>
        </w:rPr>
        <w:t>Information Technology and Cybersecurity Risk Factors</w:t>
      </w:r>
      <w:r>
        <w:rPr>
          <w:rFonts w:ascii="Arial" w:cs="Arial" w:eastAsia="Arial" w:hAnsi="Arial"/>
          <w:sz w:val="18"/>
          <w:szCs w:val="18"/>
          <w:color w:val="auto"/>
        </w:rPr>
        <w:t xml:space="preserve"> on page 22 and </w:t>
      </w:r>
      <w:r>
        <w:rPr>
          <w:rFonts w:ascii="Arial" w:cs="Arial" w:eastAsia="Arial" w:hAnsi="Arial"/>
          <w:sz w:val="18"/>
          <w:szCs w:val="18"/>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1C. Cybersecurity</w:t>
      </w:r>
      <w:r>
        <w:rPr>
          <w:rFonts w:ascii="Arial" w:cs="Arial" w:eastAsia="Arial" w:hAnsi="Arial"/>
          <w:sz w:val="18"/>
          <w:szCs w:val="18"/>
          <w:color w:val="0000FF"/>
        </w:rPr>
        <w:t xml:space="preserve"> </w:t>
      </w:r>
      <w:r>
        <w:rPr>
          <w:rFonts w:ascii="Arial" w:cs="Arial" w:eastAsia="Arial" w:hAnsi="Arial"/>
          <w:sz w:val="18"/>
          <w:szCs w:val="18"/>
          <w:color w:val="000000"/>
        </w:rPr>
        <w:t>on page 26.</w:t>
      </w:r>
    </w:p>
    <w:p>
      <w:pPr>
        <w:spacing w:after="0" w:line="11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NEW ACCOUNTING STANDARDS</w:t>
      </w:r>
    </w:p>
    <w:p>
      <w:pPr>
        <w:spacing w:after="0" w:line="115"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 xml:space="preserve">The FASB has issued accounting guidance effective for current and future periods. See </w:t>
      </w:r>
      <w:r>
        <w:rPr>
          <w:rFonts w:ascii="Arial" w:cs="Arial" w:eastAsia="Arial" w:hAnsi="Arial"/>
          <w:sz w:val="18"/>
          <w:szCs w:val="18"/>
          <w:u w:val="single" w:color="auto"/>
          <w:color w:val="0000FF"/>
        </w:rPr>
        <w:t>Note A</w:t>
      </w:r>
      <w:r>
        <w:rPr>
          <w:rFonts w:ascii="Arial" w:cs="Arial" w:eastAsia="Arial" w:hAnsi="Arial"/>
          <w:sz w:val="18"/>
          <w:szCs w:val="18"/>
          <w:color w:val="auto"/>
        </w:rPr>
        <w:t xml:space="preserve"> on page 81 of the Notes to Consolidated Financial Statements for a more complete discussion.</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millions)</w:t>
      </w:r>
    </w:p>
    <w:p>
      <w:pPr>
        <w:spacing w:after="0" w:line="6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Interest Rates</w:t>
      </w:r>
    </w:p>
    <w:p>
      <w:pPr>
        <w:spacing w:after="0" w:line="115" w:lineRule="exact"/>
        <w:rPr>
          <w:sz w:val="20"/>
          <w:szCs w:val="20"/>
          <w:color w:val="auto"/>
        </w:rPr>
      </w:pPr>
    </w:p>
    <w:p>
      <w:pPr>
        <w:jc w:val="both"/>
        <w:ind w:right="20" w:firstLine="402"/>
        <w:spacing w:after="0" w:line="270" w:lineRule="auto"/>
        <w:rPr>
          <w:sz w:val="20"/>
          <w:szCs w:val="20"/>
          <w:color w:val="auto"/>
        </w:rPr>
      </w:pPr>
      <w:r>
        <w:rPr>
          <w:rFonts w:ascii="Arial" w:cs="Arial" w:eastAsia="Arial" w:hAnsi="Arial"/>
          <w:sz w:val="17"/>
          <w:szCs w:val="17"/>
          <w:color w:val="auto"/>
        </w:rPr>
        <w:t>The table below provides information about our debt obligations sensitive to changes in interest rates. Substantially all of the debt shown in the table below is denominated in U.S. dollars. The fair value of fixed rate debt was approximately $175.0 million less than carrying value of $1,490.0 million at December 31, 2025 and approximately $245.0 million less than carrying value of $1,488.3 million at December 31, 2024.</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fair value of the fixed rate debt was based on quoted prices in an active market. The fair value of variable rate debt is not materially different from its recorded amount.</w:t>
      </w:r>
    </w:p>
    <w:p>
      <w:pPr>
        <w:spacing w:after="0" w:line="24"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Scheduled Maturity Date</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Long-term debt as of December 31,</w:t>
            </w:r>
          </w:p>
        </w:tc>
        <w:tc>
          <w:tcPr>
            <w:tcW w:w="14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fixed rate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8"/>
        </w:trPr>
        <w:tc>
          <w:tcPr>
            <w:tcW w:w="2600" w:type="dxa"/>
            <w:vAlign w:val="bottom"/>
          </w:tcPr>
          <w:p>
            <w:pPr>
              <w:ind w:left="160"/>
              <w:spacing w:after="0"/>
              <w:rPr>
                <w:sz w:val="20"/>
                <w:szCs w:val="20"/>
                <w:color w:val="auto"/>
              </w:rPr>
            </w:pPr>
            <w:r>
              <w:rPr>
                <w:rFonts w:ascii="Arial" w:cs="Arial" w:eastAsia="Arial" w:hAnsi="Arial"/>
                <w:sz w:val="18"/>
                <w:szCs w:val="18"/>
                <w:i w:val="1"/>
                <w:iCs w:val="1"/>
                <w:color w:val="auto"/>
              </w:rPr>
              <w:t>Average stated interest rate</w:t>
            </w:r>
          </w:p>
        </w:tc>
        <w:tc>
          <w:tcPr>
            <w:tcW w:w="14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60"/>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191"/>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variable rate debt</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4"/>
        </w:trPr>
        <w:tc>
          <w:tcPr>
            <w:tcW w:w="2600" w:type="dxa"/>
            <w:vAlign w:val="bottom"/>
          </w:tcPr>
          <w:p>
            <w:pPr>
              <w:ind w:left="40"/>
              <w:spacing w:after="0" w:line="175" w:lineRule="exact"/>
              <w:rPr>
                <w:sz w:val="20"/>
                <w:szCs w:val="20"/>
                <w:color w:val="auto"/>
              </w:rPr>
            </w:pPr>
            <w:r>
              <w:rPr>
                <w:rFonts w:ascii="Arial" w:cs="Arial" w:eastAsia="Arial" w:hAnsi="Arial"/>
                <w:sz w:val="18"/>
                <w:szCs w:val="18"/>
                <w:color w:val="auto"/>
              </w:rPr>
              <w:t>Unamortized discounts and</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1"/>
        </w:trPr>
        <w:tc>
          <w:tcPr>
            <w:tcW w:w="2600" w:type="dxa"/>
            <w:vAlign w:val="bottom"/>
          </w:tcPr>
          <w:p>
            <w:pPr>
              <w:ind w:left="40"/>
              <w:spacing w:after="0"/>
              <w:rPr>
                <w:sz w:val="20"/>
                <w:szCs w:val="20"/>
                <w:color w:val="auto"/>
              </w:rPr>
            </w:pPr>
            <w:r>
              <w:rPr>
                <w:rFonts w:ascii="Arial" w:cs="Arial" w:eastAsia="Arial" w:hAnsi="Arial"/>
                <w:sz w:val="18"/>
                <w:szCs w:val="18"/>
                <w:color w:val="auto"/>
              </w:rPr>
              <w:t>deferred loan costs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40"/>
              <w:spacing w:after="0" w:line="227" w:lineRule="exact"/>
              <w:rPr>
                <w:sz w:val="20"/>
                <w:szCs w:val="20"/>
                <w:color w:val="auto"/>
              </w:rPr>
            </w:pPr>
            <w:r>
              <w:rPr>
                <w:rFonts w:ascii="Arial" w:cs="Arial" w:eastAsia="Arial" w:hAnsi="Arial"/>
                <w:sz w:val="17"/>
                <w:szCs w:val="17"/>
                <w:color w:val="auto"/>
              </w:rPr>
              <w:t xml:space="preserve">Commercial paper </w:t>
            </w:r>
            <w:r>
              <w:rPr>
                <w:rFonts w:ascii="Arial" w:cs="Arial" w:eastAsia="Arial" w:hAnsi="Arial"/>
                <w:sz w:val="26"/>
                <w:szCs w:val="26"/>
                <w:b w:val="1"/>
                <w:bCs w:val="1"/>
                <w:color w:val="auto"/>
                <w:vertAlign w:val="superscript"/>
              </w:rPr>
              <w:t>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174"/>
        </w:trPr>
        <w:tc>
          <w:tcPr>
            <w:tcW w:w="2600" w:type="dxa"/>
            <w:vAlign w:val="bottom"/>
          </w:tcPr>
          <w:p>
            <w:pPr>
              <w:ind w:left="40"/>
              <w:spacing w:after="0" w:line="175" w:lineRule="exact"/>
              <w:rPr>
                <w:sz w:val="20"/>
                <w:szCs w:val="20"/>
                <w:color w:val="auto"/>
              </w:rPr>
            </w:pPr>
            <w:r>
              <w:rPr>
                <w:rFonts w:ascii="Arial" w:cs="Arial" w:eastAsia="Arial" w:hAnsi="Arial"/>
                <w:sz w:val="18"/>
                <w:szCs w:val="18"/>
                <w:color w:val="auto"/>
              </w:rPr>
              <w:t>Miscellaneous debt and finance</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1"/>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leases</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1,864.1</w:t>
            </w:r>
          </w:p>
        </w:tc>
        <w:tc>
          <w:tcPr>
            <w:tcW w:w="0" w:type="dxa"/>
            <w:vAlign w:val="bottom"/>
          </w:tcPr>
          <w:p>
            <w:pPr>
              <w:spacing w:after="0"/>
              <w:rPr>
                <w:sz w:val="1"/>
                <w:szCs w:val="1"/>
                <w:color w:val="auto"/>
              </w:rPr>
            </w:pPr>
          </w:p>
        </w:tc>
      </w:tr>
      <w:tr>
        <w:trPr>
          <w:trHeight w:val="228"/>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maturities</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6"/>
        </w:trPr>
        <w:tc>
          <w:tcPr>
            <w:tcW w:w="2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1,496.2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1,862.8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80" w:right="320" w:hanging="151"/>
        <w:spacing w:after="0" w:line="204" w:lineRule="auto"/>
        <w:tabs>
          <w:tab w:leader="none" w:pos="477" w:val="left"/>
        </w:tabs>
        <w:numPr>
          <w:ilvl w:val="0"/>
          <w:numId w:val="48"/>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weighted average interest rate for the average net commercial paper outstanding activity during the years ended December 31, 2025 and 2024 was 5.0% and 5.6%,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Derivative Financial Instruments</w:t>
      </w:r>
    </w:p>
    <w:p>
      <w:pPr>
        <w:spacing w:after="0" w:line="115" w:lineRule="exact"/>
        <w:rPr>
          <w:sz w:val="20"/>
          <w:szCs w:val="20"/>
          <w:color w:val="auto"/>
        </w:rPr>
      </w:pPr>
    </w:p>
    <w:p>
      <w:pPr>
        <w:ind w:right="160" w:firstLine="402"/>
        <w:spacing w:after="0" w:line="275" w:lineRule="auto"/>
        <w:rPr>
          <w:sz w:val="20"/>
          <w:szCs w:val="20"/>
          <w:color w:val="auto"/>
        </w:rPr>
      </w:pPr>
      <w:r>
        <w:rPr>
          <w:rFonts w:ascii="Arial" w:cs="Arial" w:eastAsia="Arial" w:hAnsi="Arial"/>
          <w:sz w:val="17"/>
          <w:szCs w:val="17"/>
          <w:color w:val="auto"/>
        </w:rPr>
        <w:t xml:space="preserve">We are subject to market and financial risks related to interest rates and foreign currency. In the normal course of business, we utilize derivative instruments (individually or in combinations) to reduce or eliminate these risks. We seek to use derivative contracts that qualify for hedge accounting treatment; however, some instruments may not qualify for hedge accounting treatment. It is our policy not to speculate using derivative instruments. Information regarding cash flow hedges and fair value hedges is provided in </w:t>
      </w:r>
      <w:r>
        <w:rPr>
          <w:rFonts w:ascii="Arial" w:cs="Arial" w:eastAsia="Arial" w:hAnsi="Arial"/>
          <w:sz w:val="17"/>
          <w:szCs w:val="17"/>
          <w:u w:val="single" w:color="auto"/>
          <w:color w:val="0000FF"/>
        </w:rPr>
        <w:t>Note A</w:t>
      </w:r>
      <w:r>
        <w:rPr>
          <w:rFonts w:ascii="Arial" w:cs="Arial" w:eastAsia="Arial" w:hAnsi="Arial"/>
          <w:sz w:val="17"/>
          <w:szCs w:val="17"/>
          <w:color w:val="auto"/>
        </w:rPr>
        <w:t xml:space="preserve"> beginning on page 81 and </w:t>
      </w:r>
      <w:r>
        <w:rPr>
          <w:rFonts w:ascii="Arial" w:cs="Arial" w:eastAsia="Arial" w:hAnsi="Arial"/>
          <w:sz w:val="17"/>
          <w:szCs w:val="17"/>
          <w:u w:val="single" w:color="auto"/>
          <w:color w:val="0000FF"/>
        </w:rPr>
        <w:t>Note R</w:t>
      </w:r>
      <w:r>
        <w:rPr>
          <w:rFonts w:ascii="Arial" w:cs="Arial" w:eastAsia="Arial" w:hAnsi="Arial"/>
          <w:sz w:val="17"/>
          <w:szCs w:val="17"/>
          <w:color w:val="0000FF"/>
        </w:rPr>
        <w:t xml:space="preserve"> </w:t>
      </w:r>
      <w:r>
        <w:rPr>
          <w:rFonts w:ascii="Arial" w:cs="Arial" w:eastAsia="Arial" w:hAnsi="Arial"/>
          <w:sz w:val="17"/>
          <w:szCs w:val="17"/>
          <w:color w:val="000000"/>
        </w:rPr>
        <w:t>beginning on page 120 of the Notes to Consolidated Financial Statements and is incorporated by reference into this section.</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Investment in Foreign Subsidiaries</w:t>
      </w:r>
    </w:p>
    <w:p>
      <w:pPr>
        <w:spacing w:after="0" w:line="115" w:lineRule="exact"/>
        <w:rPr>
          <w:sz w:val="20"/>
          <w:szCs w:val="20"/>
          <w:color w:val="auto"/>
        </w:rPr>
      </w:pPr>
    </w:p>
    <w:p>
      <w:pPr>
        <w:jc w:val="both"/>
        <w:ind w:right="120" w:firstLine="402"/>
        <w:spacing w:after="0" w:line="288" w:lineRule="auto"/>
        <w:rPr>
          <w:sz w:val="20"/>
          <w:szCs w:val="20"/>
          <w:color w:val="auto"/>
        </w:rPr>
      </w:pPr>
      <w:r>
        <w:rPr>
          <w:rFonts w:ascii="Arial" w:cs="Arial" w:eastAsia="Arial" w:hAnsi="Arial"/>
          <w:sz w:val="17"/>
          <w:szCs w:val="17"/>
          <w:color w:val="auto"/>
        </w:rPr>
        <w:t>We view our investment in foreign subsidiaries as a long-term commitment, and it can vary based on operating cycles and currency rate fluctuations. This investment may take the form of either permanent capital or notes. Our net investment (i.e., total assets less total liabilities subject to translation exposure) in foreign operations with functional currencies other than the U.S. dollar at December 31 is as follows:</w:t>
      </w:r>
    </w:p>
    <w:p>
      <w:pPr>
        <w:spacing w:after="0" w:line="74" w:lineRule="exact"/>
        <w:rPr>
          <w:sz w:val="20"/>
          <w:szCs w:val="20"/>
          <w:color w:val="auto"/>
        </w:rPr>
      </w:pPr>
    </w:p>
    <w:tbl>
      <w:tblPr>
        <w:tblLayout w:type="fixed"/>
        <w:tblInd w:w="1500" w:type="dxa"/>
        <w:tblCellMar>
          <w:top w:w="0" w:type="dxa"/>
          <w:left w:w="0" w:type="dxa"/>
          <w:bottom w:w="0" w:type="dxa"/>
          <w:right w:w="0" w:type="dxa"/>
        </w:tblCellMar>
      </w:tblPr>
      <w:tr>
        <w:trPr>
          <w:trHeight w:val="23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Functional Currency (amounts in millions)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2024</w:t>
            </w:r>
          </w:p>
        </w:tc>
      </w:tr>
      <w:tr>
        <w:trPr>
          <w:trHeight w:val="221"/>
        </w:trPr>
        <w:tc>
          <w:tcPr>
            <w:tcW w:w="542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European Currencies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396.5</w:t>
            </w:r>
          </w:p>
        </w:tc>
      </w:tr>
      <w:tr>
        <w:trPr>
          <w:trHeight w:val="228"/>
        </w:trPr>
        <w:tc>
          <w:tcPr>
            <w:tcW w:w="5420" w:type="dxa"/>
            <w:vAlign w:val="bottom"/>
          </w:tcPr>
          <w:p>
            <w:pPr>
              <w:ind w:left="20"/>
              <w:spacing w:after="0"/>
              <w:rPr>
                <w:sz w:val="20"/>
                <w:szCs w:val="20"/>
                <w:color w:val="auto"/>
              </w:rPr>
            </w:pPr>
            <w:r>
              <w:rPr>
                <w:rFonts w:ascii="Arial" w:cs="Arial" w:eastAsia="Arial" w:hAnsi="Arial"/>
                <w:sz w:val="18"/>
                <w:szCs w:val="18"/>
                <w:color w:val="auto"/>
              </w:rPr>
              <w:t>Chinese Yuan</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267.2</w:t>
            </w: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r>
      <w:tr>
        <w:trPr>
          <w:trHeight w:val="228"/>
        </w:trPr>
        <w:tc>
          <w:tcPr>
            <w:tcW w:w="5420" w:type="dxa"/>
            <w:vAlign w:val="bottom"/>
          </w:tcPr>
          <w:p>
            <w:pPr>
              <w:ind w:left="20"/>
              <w:spacing w:after="0"/>
              <w:rPr>
                <w:sz w:val="20"/>
                <w:szCs w:val="20"/>
                <w:color w:val="auto"/>
              </w:rPr>
            </w:pPr>
            <w:r>
              <w:rPr>
                <w:rFonts w:ascii="Arial" w:cs="Arial" w:eastAsia="Arial" w:hAnsi="Arial"/>
                <w:sz w:val="18"/>
                <w:szCs w:val="18"/>
                <w:color w:val="auto"/>
              </w:rPr>
              <w:t>Mexican Peso</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72.5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r>
      <w:tr>
        <w:trPr>
          <w:trHeight w:val="221"/>
        </w:trPr>
        <w:tc>
          <w:tcPr>
            <w:tcW w:w="542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1,315.2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1,022.8</w:t>
            </w: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460" w:right="640" w:hanging="166"/>
        <w:spacing w:after="0" w:line="204" w:lineRule="auto"/>
        <w:tabs>
          <w:tab w:leader="none" w:pos="1426" w:val="left"/>
        </w:tabs>
        <w:numPr>
          <w:ilvl w:val="0"/>
          <w:numId w:val="49"/>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increase in 2025 is due to the gain on our Aerospace Products Group (see </w:t>
      </w:r>
      <w:r>
        <w:rPr>
          <w:rFonts w:ascii="Arial" w:cs="Arial" w:eastAsia="Arial" w:hAnsi="Arial"/>
          <w:sz w:val="18"/>
          <w:szCs w:val="18"/>
          <w:u w:val="single" w:color="auto"/>
          <w:color w:val="0000FF"/>
        </w:rPr>
        <w:t>Note S</w:t>
      </w:r>
      <w:r>
        <w:rPr>
          <w:rFonts w:ascii="Arial" w:cs="Arial" w:eastAsia="Arial" w:hAnsi="Arial"/>
          <w:sz w:val="18"/>
          <w:szCs w:val="18"/>
          <w:color w:val="auto"/>
        </w:rPr>
        <w:t xml:space="preserve"> to the Consolidated Financial Statements on page 121).</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Financial Statements and Supplementary Data.</w:t>
      </w:r>
    </w:p>
    <w:p>
      <w:pPr>
        <w:spacing w:after="0" w:line="107" w:lineRule="exact"/>
        <w:rPr>
          <w:sz w:val="20"/>
          <w:szCs w:val="20"/>
          <w:color w:val="auto"/>
        </w:rPr>
      </w:pPr>
    </w:p>
    <w:p>
      <w:pPr>
        <w:ind w:right="240" w:firstLine="402"/>
        <w:spacing w:after="0" w:line="282" w:lineRule="auto"/>
        <w:rPr>
          <w:sz w:val="20"/>
          <w:szCs w:val="20"/>
          <w:color w:val="auto"/>
        </w:rPr>
      </w:pPr>
      <w:r>
        <w:rPr>
          <w:rFonts w:ascii="Arial" w:cs="Arial" w:eastAsia="Arial" w:hAnsi="Arial"/>
          <w:sz w:val="18"/>
          <w:szCs w:val="18"/>
          <w:color w:val="auto"/>
        </w:rPr>
        <w:t xml:space="preserve">The Consolidated Financial Statements and Notes and Financial Statement Schedule included in this Report are listed and included in </w:t>
      </w:r>
      <w:r>
        <w:rPr>
          <w:rFonts w:ascii="Arial" w:cs="Arial" w:eastAsia="Arial" w:hAnsi="Arial"/>
          <w:sz w:val="18"/>
          <w:szCs w:val="18"/>
          <w:u w:val="single" w:color="auto"/>
          <w:color w:val="0000FF"/>
        </w:rPr>
        <w:t>Item 15</w:t>
      </w:r>
      <w:r>
        <w:rPr>
          <w:rFonts w:ascii="Arial" w:cs="Arial" w:eastAsia="Arial" w:hAnsi="Arial"/>
          <w:sz w:val="18"/>
          <w:szCs w:val="18"/>
          <w:color w:val="0000FF"/>
        </w:rPr>
        <w:t xml:space="preserve"> </w:t>
      </w:r>
      <w:r>
        <w:rPr>
          <w:rFonts w:ascii="Arial" w:cs="Arial" w:eastAsia="Arial" w:hAnsi="Arial"/>
          <w:sz w:val="18"/>
          <w:szCs w:val="18"/>
          <w:color w:val="000000"/>
        </w:rPr>
        <w:t>on page 72, and are incorporated by reference into this item.</w:t>
      </w:r>
    </w:p>
    <w:p>
      <w:pPr>
        <w:spacing w:after="0" w:line="192" w:lineRule="exact"/>
        <w:rPr>
          <w:sz w:val="20"/>
          <w:szCs w:val="20"/>
          <w:color w:val="auto"/>
        </w:rPr>
      </w:pPr>
    </w:p>
    <w:p>
      <w:pPr>
        <w:ind w:right="960"/>
        <w:spacing w:after="0" w:line="287"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Effectiveness of the Company’s Disclosure Controls and Procedures</w:t>
      </w:r>
    </w:p>
    <w:p>
      <w:pPr>
        <w:spacing w:after="0" w:line="107" w:lineRule="exact"/>
        <w:rPr>
          <w:sz w:val="20"/>
          <w:szCs w:val="20"/>
          <w:color w:val="auto"/>
        </w:rPr>
      </w:pPr>
    </w:p>
    <w:p>
      <w:pPr>
        <w:ind w:right="20" w:firstLine="402"/>
        <w:spacing w:after="0" w:line="252" w:lineRule="auto"/>
        <w:rPr>
          <w:sz w:val="20"/>
          <w:szCs w:val="20"/>
          <w:color w:val="auto"/>
        </w:rPr>
      </w:pPr>
      <w:r>
        <w:rPr>
          <w:rFonts w:ascii="Arial" w:cs="Arial" w:eastAsia="Arial" w:hAnsi="Arial"/>
          <w:sz w:val="18"/>
          <w:szCs w:val="18"/>
          <w:color w:val="auto"/>
        </w:rPr>
        <w:t>An evaluation as of December 31, 2025, was carried out by the Company’s management, with the participation of the Company’s Chief Executive Officer and Chief Financial Officer, of the effectiveness of the Company’s disclosure controls and procedures (as defined in Rule 13a-15(e) under the Securities Exchange Act of 1934, as amended (the “Exchange Act”)). Based upon this evaluation, the Chief Executive Officer and Chief Financial Officer have concluded the Company’s disclosure controls and procedures were effective, as of December 31, 2025, to provide assurance that information required to be disclosed by the Company in the reports that it files or submits under the Exchange Act is recorded, processed, summarized, and reported within the time periods specified by the Securities and Exchange Commission’s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w:t>
      </w:r>
    </w:p>
    <w:p>
      <w:pPr>
        <w:spacing w:after="0" w:line="154" w:lineRule="exact"/>
        <w:rPr>
          <w:sz w:val="20"/>
          <w:szCs w:val="20"/>
          <w:color w:val="auto"/>
        </w:rPr>
      </w:pPr>
    </w:p>
    <w:p>
      <w:pPr>
        <w:ind w:right="720"/>
        <w:spacing w:after="0" w:line="287" w:lineRule="auto"/>
        <w:rPr>
          <w:sz w:val="20"/>
          <w:szCs w:val="20"/>
          <w:color w:val="auto"/>
        </w:rPr>
      </w:pPr>
      <w:r>
        <w:rPr>
          <w:rFonts w:ascii="Arial" w:cs="Arial" w:eastAsia="Arial" w:hAnsi="Arial"/>
          <w:sz w:val="25"/>
          <w:szCs w:val="25"/>
          <w:b w:val="1"/>
          <w:bCs w:val="1"/>
          <w:color w:val="auto"/>
        </w:rPr>
        <w:t>Management’s Annual Report on Internal Control over Financial Reporting and Auditor’s Attestation Report</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0000FF"/>
        </w:rPr>
        <w:t>Management’s Annual Report on Internal Control over Financial Reporting</w:t>
      </w:r>
      <w:r>
        <w:rPr>
          <w:rFonts w:ascii="Arial" w:cs="Arial" w:eastAsia="Arial" w:hAnsi="Arial"/>
          <w:sz w:val="18"/>
          <w:szCs w:val="18"/>
          <w:color w:val="0000FF"/>
        </w:rPr>
        <w:t xml:space="preserve"> </w:t>
      </w:r>
      <w:r>
        <w:rPr>
          <w:rFonts w:ascii="Arial" w:cs="Arial" w:eastAsia="Arial" w:hAnsi="Arial"/>
          <w:sz w:val="18"/>
          <w:szCs w:val="18"/>
          <w:color w:val="000000"/>
        </w:rPr>
        <w:t>can be found on page 73, and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Report of Independent</w:t>
      </w:r>
    </w:p>
    <w:p>
      <w:pPr>
        <w:spacing w:after="0" w:line="25"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0000FF"/>
        </w:rPr>
        <w:t>Registered Public Accounting Firm</w:t>
      </w:r>
      <w:r>
        <w:rPr>
          <w:rFonts w:ascii="Arial" w:cs="Arial" w:eastAsia="Arial" w:hAnsi="Arial"/>
          <w:sz w:val="18"/>
          <w:szCs w:val="18"/>
          <w:color w:val="0000FF"/>
        </w:rPr>
        <w:t xml:space="preserve"> </w:t>
      </w:r>
      <w:r>
        <w:rPr>
          <w:rFonts w:ascii="Arial" w:cs="Arial" w:eastAsia="Arial" w:hAnsi="Arial"/>
          <w:sz w:val="18"/>
          <w:szCs w:val="18"/>
          <w:color w:val="000000"/>
        </w:rPr>
        <w:t>regarding the effectiveness of the Company’s internal control over financial reporting can be found on page</w:t>
      </w:r>
      <w:r>
        <w:rPr>
          <w:rFonts w:ascii="Arial" w:cs="Arial" w:eastAsia="Arial" w:hAnsi="Arial"/>
          <w:sz w:val="18"/>
          <w:szCs w:val="18"/>
          <w:color w:val="0000FF"/>
        </w:rPr>
        <w:t xml:space="preserve"> </w:t>
      </w:r>
      <w:r>
        <w:rPr>
          <w:rFonts w:ascii="Arial" w:cs="Arial" w:eastAsia="Arial" w:hAnsi="Arial"/>
          <w:sz w:val="18"/>
          <w:szCs w:val="18"/>
          <w:color w:val="000000"/>
        </w:rPr>
        <w:t>74 of this Form 10-K. Each is incorporated by reference into this Item 9A.</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the Company’s Internal Control Over Financial Reporting</w:t>
      </w:r>
    </w:p>
    <w:p>
      <w:pPr>
        <w:spacing w:after="0" w:line="107"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There were no changes during the quarter ended December 31, 2025 that have materially affected, or are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and Officer Trading Arrangements</w:t>
      </w:r>
    </w:p>
    <w:p>
      <w:pPr>
        <w:spacing w:after="0" w:line="107"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During the three months ended December 31, 2025, no director or officer (as defined in Rule 16a-1(f) under the Securities Exchange Act of 1934, as amended) of the Company adopted, modified, or terminated a “Rule 10b5-1 trading arrangement.”</w:t>
      </w:r>
    </w:p>
    <w:p>
      <w:pPr>
        <w:spacing w:after="0" w:line="23" w:lineRule="exact"/>
        <w:rPr>
          <w:sz w:val="20"/>
          <w:szCs w:val="20"/>
          <w:color w:val="auto"/>
        </w:rPr>
      </w:pPr>
    </w:p>
    <w:p>
      <w:pPr>
        <w:ind w:right="120" w:firstLine="402"/>
        <w:spacing w:after="0" w:line="279" w:lineRule="auto"/>
        <w:rPr>
          <w:sz w:val="20"/>
          <w:szCs w:val="20"/>
          <w:color w:val="auto"/>
        </w:rPr>
      </w:pPr>
      <w:r>
        <w:rPr>
          <w:rFonts w:ascii="Arial" w:cs="Arial" w:eastAsia="Arial" w:hAnsi="Arial"/>
          <w:sz w:val="17"/>
          <w:szCs w:val="17"/>
          <w:color w:val="auto"/>
        </w:rPr>
        <w:t>The following elections made pursuant to the Company’s Deferred Compensation Program (DC Program) and Executive Stock Unit Program (ESU Program) may be considered to constitute “non-Rule 10b5-1 trading arrangements.” As such, we have disclosed them below. All elections were made at a time when the individual was not aware of material non-public information about the Company. The securities under the DC Program and the ESU Program are issued from the Company to the individual and no market transaction is involved.</w:t>
      </w:r>
    </w:p>
    <w:p>
      <w:pPr>
        <w:spacing w:after="0" w:line="43" w:lineRule="exact"/>
        <w:rPr>
          <w:sz w:val="20"/>
          <w:szCs w:val="20"/>
          <w:color w:val="auto"/>
        </w:rPr>
      </w:pPr>
    </w:p>
    <w:p>
      <w:pPr>
        <w:ind w:firstLine="402"/>
        <w:spacing w:after="0" w:line="252" w:lineRule="auto"/>
        <w:rPr>
          <w:sz w:val="20"/>
          <w:szCs w:val="20"/>
          <w:color w:val="auto"/>
        </w:rPr>
      </w:pPr>
      <w:r>
        <w:rPr>
          <w:rFonts w:ascii="Arial" w:cs="Arial" w:eastAsia="Arial" w:hAnsi="Arial"/>
          <w:sz w:val="18"/>
          <w:szCs w:val="18"/>
          <w:color w:val="auto"/>
        </w:rPr>
        <w:t>Elections were made pursuant to the DC Program, effective December 15, 2025, which deferred cash compensation that would have been earned from January 1, 2026 through December 31, 2026, into Company stock units convertible into Company common stock on a one-to-one basis. Angela Barbee (director), J. Tyson Hagale (EVP, President - Bedding Products), and R. Samuel Smith, Jr. (EVP, President - Specialized Products and Furniture, Flooring &amp; Textile Products) elected to defer cash compensation into stock units. The number of stock units acquired under the DC Program is determined by taking the cash deferred and dividing it by 80% of the closing price of the Company common stock on the NYSE on the date the cash would have otherwise been paid. On December 4, 2025, Tammy M. Trent (SVP and CAO) elected to withdraw from participation in the ESU program beginning January 1, 2026. The number of stock units awarded in the ESU Program is determined by taking the amount of any Company matching contributions and dividend equivalent contributions and dividing it by 85% of the fair market value of the Company common stock on the date the cash would have otherwise been paid.</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2026 Restructuring Plan</w:t>
      </w:r>
    </w:p>
    <w:p>
      <w:pPr>
        <w:spacing w:after="0" w:line="107" w:lineRule="exact"/>
        <w:rPr>
          <w:sz w:val="20"/>
          <w:szCs w:val="20"/>
          <w:color w:val="auto"/>
        </w:rPr>
      </w:pPr>
    </w:p>
    <w:p>
      <w:pPr>
        <w:ind w:right="100" w:firstLine="402"/>
        <w:spacing w:after="0" w:line="282" w:lineRule="auto"/>
        <w:rPr>
          <w:sz w:val="20"/>
          <w:szCs w:val="20"/>
          <w:color w:val="auto"/>
        </w:rPr>
      </w:pPr>
      <w:r>
        <w:rPr>
          <w:rFonts w:ascii="Arial" w:cs="Arial" w:eastAsia="Arial" w:hAnsi="Arial"/>
          <w:sz w:val="18"/>
          <w:szCs w:val="18"/>
          <w:color w:val="auto"/>
        </w:rPr>
        <w:t>Because we are filing this Annual Report on Form 10-K within four business days after the triggering event, we are making the following disclosure under this Item 9B instead of filing a Form 8-K under Item 2.05 Costs Associated with Exit or Disposal Activities.</w:t>
      </w:r>
    </w:p>
    <w:p>
      <w:pPr>
        <w:spacing w:after="0" w:line="36"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On February 24, 2026, we committed to a restructuring plan primarily associated with our Specialty Foam business unit in our Bedding Products segment and, to a lesser degree, our Flooring Products business unit within our Furniture, Flooring &amp; Textile Products segment (2026 Restructuring Plan). We anticipate taking actions pursuant to the 2026 Restructuring Plan to consolidate two manufacturing facilities in our Specialty Foam business unit and one manufacturing facility in the Flooring Products business unit into other existing facilities. These actions are expected to improve our manufacturing efficiency and enhance profitability, while maintaining our service and quality levels. These consolidations are expected to reduce workforce levels by approximately 250.</w:t>
      </w:r>
    </w:p>
    <w:p>
      <w:pPr>
        <w:spacing w:after="0" w:line="61"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In aggregate, we expect to incur restructuring and restructuring-related pretax costs of approximately $15 million. Approximately $10 million of these costs are cash charges, most of which are from facility closure and asset relocation costs and, to a lesser extent, employee termination costs. We expect to incur approximately $5 million of non-cash charges, a majority of which is related to accelerated depreciation of property, plant and equipment and, to a lesser extent, an operating lease right-of-use asset impairment.</w:t>
      </w:r>
    </w:p>
    <w:p>
      <w:pPr>
        <w:spacing w:after="0" w:line="45"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We are continuing to evaluate opportunities to improve our cost structure and profitability across our businesses. The execution of any of these opportunities may result in additional restructuring costs, restructuring-related costs, or impairments. However, at this time we do not expect these to be material. We anticipate that the 2026 Restructuring Plan will be substantially complete by the end of 2026.</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Directors, Executive Officers and Corporate Governance.</w:t>
      </w:r>
    </w:p>
    <w:p>
      <w:pPr>
        <w:spacing w:after="0" w:line="107" w:lineRule="exact"/>
        <w:rPr>
          <w:sz w:val="20"/>
          <w:szCs w:val="20"/>
          <w:color w:val="auto"/>
        </w:rPr>
      </w:pPr>
    </w:p>
    <w:p>
      <w:pPr>
        <w:ind w:right="220" w:firstLine="402"/>
        <w:spacing w:after="0" w:line="259" w:lineRule="auto"/>
        <w:rPr>
          <w:sz w:val="20"/>
          <w:szCs w:val="20"/>
          <w:color w:val="auto"/>
        </w:rPr>
      </w:pPr>
      <w:r>
        <w:rPr>
          <w:rFonts w:ascii="Arial" w:cs="Arial" w:eastAsia="Arial" w:hAnsi="Arial"/>
          <w:sz w:val="18"/>
          <w:szCs w:val="18"/>
          <w:color w:val="auto"/>
        </w:rPr>
        <w:t>The subsections titled “PROPOSAL ONE: Election of Directors,” “Board and Committee Composition and Meetings,” “Consideration of Director Nominees and Diversity,” “Delinquent Section 16(a) Reports,” and “Director Independence and Board Service,” as well as the introductory paragraph under the “Corporate Governance and Board Matters” section in the Company’s definitive Proxy Statement for the Company’s Annual Meeting of Shareholders to be held on May 21, 2026, are incorporated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Directors of the Company</w:t>
      </w:r>
    </w:p>
    <w:p>
      <w:pPr>
        <w:spacing w:after="0" w:line="107" w:lineRule="exact"/>
        <w:rPr>
          <w:sz w:val="20"/>
          <w:szCs w:val="20"/>
          <w:color w:val="auto"/>
        </w:rPr>
      </w:pPr>
    </w:p>
    <w:p>
      <w:pPr>
        <w:ind w:right="280" w:firstLine="402"/>
        <w:spacing w:after="0" w:line="265" w:lineRule="auto"/>
        <w:rPr>
          <w:sz w:val="20"/>
          <w:szCs w:val="20"/>
          <w:color w:val="auto"/>
        </w:rPr>
      </w:pPr>
      <w:r>
        <w:rPr>
          <w:rFonts w:ascii="Arial" w:cs="Arial" w:eastAsia="Arial" w:hAnsi="Arial"/>
          <w:sz w:val="18"/>
          <w:szCs w:val="18"/>
          <w:color w:val="auto"/>
        </w:rPr>
        <w:t>Directors are normally elected annually at the Annual Meeting of Shareholders and hold office until the next annual meeting of shareholders or until their successors are elected and qualified. All current directors have been nominated for re-election at the Company’s annual meeting of shareholders to be held May 21, 2026.</w:t>
      </w:r>
    </w:p>
    <w:p>
      <w:pPr>
        <w:spacing w:after="0" w:line="52" w:lineRule="exact"/>
        <w:rPr>
          <w:sz w:val="20"/>
          <w:szCs w:val="20"/>
          <w:color w:val="auto"/>
        </w:rPr>
      </w:pPr>
    </w:p>
    <w:p>
      <w:pPr>
        <w:ind w:firstLine="402"/>
        <w:spacing w:after="0" w:line="253" w:lineRule="auto"/>
        <w:rPr>
          <w:sz w:val="20"/>
          <w:szCs w:val="20"/>
          <w:color w:val="auto"/>
        </w:rPr>
      </w:pPr>
      <w:r>
        <w:rPr>
          <w:rFonts w:ascii="Arial" w:cs="Arial" w:eastAsia="Arial" w:hAnsi="Arial"/>
          <w:sz w:val="18"/>
          <w:szCs w:val="18"/>
          <w:color w:val="auto"/>
        </w:rPr>
        <w:t>In order to be nominated for election as a director, a nominee must submit a contingent resignation to the Nominating, Governance and Sustainability Committee (NGS Committee). The resignation will become effective only if (i) the director nominee fails to receive an affirmative vote of a majority of the shares, represented in person or by proxy, entitled to vote at a meeting for the election of directors; and (ii) the Board accepts the resignation. If a nominee fails to receive an affirmative majority of such votes, the NGS Committee will make a recommendation to the Board of Directors whether to accept or reject the director’s resignation and whether any other action should be taken. If a director’s resignation is not accepted, that director will continue to serve until the Company’s next annual meeting or until his or her successor is duly elected and qualified. If the Board accepts the director’s resignation, it may, in its sole discretion, either fill the resulting vacancy or decrease the size of the Board to eliminate the vacancy.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Brief biographies of the Company’s Board of Directors are provided below.</w:t>
      </w:r>
    </w:p>
    <w:p>
      <w:pPr>
        <w:spacing w:after="0" w:line="88" w:lineRule="exact"/>
        <w:rPr>
          <w:sz w:val="20"/>
          <w:szCs w:val="20"/>
          <w:color w:val="auto"/>
        </w:rPr>
      </w:pPr>
    </w:p>
    <w:p>
      <w:pPr>
        <w:ind w:firstLine="402"/>
        <w:spacing w:after="0" w:line="251" w:lineRule="auto"/>
        <w:rPr>
          <w:sz w:val="20"/>
          <w:szCs w:val="20"/>
          <w:color w:val="auto"/>
        </w:rPr>
      </w:pPr>
      <w:r>
        <w:rPr>
          <w:rFonts w:ascii="Arial" w:cs="Arial" w:eastAsia="Arial" w:hAnsi="Arial"/>
          <w:sz w:val="18"/>
          <w:szCs w:val="18"/>
          <w:b w:val="1"/>
          <w:bCs w:val="1"/>
          <w:color w:val="auto"/>
        </w:rPr>
        <w:t>Angela Barbee</w:t>
      </w:r>
      <w:r>
        <w:rPr>
          <w:rFonts w:ascii="Arial" w:cs="Arial" w:eastAsia="Arial" w:hAnsi="Arial"/>
          <w:sz w:val="18"/>
          <w:szCs w:val="18"/>
          <w:color w:val="auto"/>
        </w:rPr>
        <w:t>, age 60, was Senior Vice President of Technology and Global R&amp;D of Weber Inc., a manufacturer of charcoal, gas,</w:t>
      </w:r>
      <w:r>
        <w:rPr>
          <w:rFonts w:ascii="Arial" w:cs="Arial" w:eastAsia="Arial" w:hAnsi="Arial"/>
          <w:sz w:val="18"/>
          <w:szCs w:val="18"/>
          <w:b w:val="1"/>
          <w:bCs w:val="1"/>
          <w:color w:val="auto"/>
        </w:rPr>
        <w:t xml:space="preserve"> </w:t>
      </w:r>
      <w:r>
        <w:rPr>
          <w:rFonts w:ascii="Arial" w:cs="Arial" w:eastAsia="Arial" w:hAnsi="Arial"/>
          <w:sz w:val="18"/>
          <w:szCs w:val="18"/>
          <w:color w:val="auto"/>
        </w:rPr>
        <w:t>pellet, and electric outdoor grills and accessories, from 2021 until 2022. She previously served as Vice President of Advance Development, Global Kitchen &amp; Bath Group of Kohler Company, a global leader in design, innovation and manufacture of kitchen and bath products, engines and power systems, and luxury cabinetry and tile, from 2020 to 2021, and as Vice President of New Product Development and Engineering, Global Faucets from 2018 to 2020. Ms. Barbee served as Director of Global Creative Design Operations of General Motors, a global company that designs, builds, and sells trucks, crossovers, cars, and automobile parts and accessories, from 2013 to 2017, and in various other capacities since 1994. Ms. Barbee holds a bachelor’s degree in mechanical engineering from Wayne State University, a master’s degree in mechanical engineering from Purdue University, and has completed the Executive Education Program in the Ross Business School at the University of Michigan. Through her positions at Weber, Kohler, and General Motors, Ms. Barbee has a wide-ranging knowledge of manufacturing, engineering and innovation, management, and operations in the consumer products and automotive industries. She also has extensive international experience in leading engineering, development and innovation efforts. She was first elected as a director of the Company in 2022.</w:t>
      </w:r>
    </w:p>
    <w:p>
      <w:pPr>
        <w:spacing w:after="0" w:line="70" w:lineRule="exact"/>
        <w:rPr>
          <w:sz w:val="20"/>
          <w:szCs w:val="20"/>
          <w:color w:val="auto"/>
        </w:rPr>
      </w:pPr>
    </w:p>
    <w:p>
      <w:pPr>
        <w:ind w:firstLine="402"/>
        <w:spacing w:after="0" w:line="252" w:lineRule="auto"/>
        <w:rPr>
          <w:sz w:val="20"/>
          <w:szCs w:val="20"/>
          <w:color w:val="auto"/>
        </w:rPr>
      </w:pPr>
      <w:r>
        <w:rPr>
          <w:rFonts w:ascii="Arial" w:cs="Arial" w:eastAsia="Arial" w:hAnsi="Arial"/>
          <w:sz w:val="18"/>
          <w:szCs w:val="18"/>
          <w:b w:val="1"/>
          <w:bCs w:val="1"/>
          <w:color w:val="auto"/>
        </w:rPr>
        <w:t>Robert E. Brunner</w:t>
      </w:r>
      <w:r>
        <w:rPr>
          <w:rFonts w:ascii="Arial" w:cs="Arial" w:eastAsia="Arial" w:hAnsi="Arial"/>
          <w:sz w:val="18"/>
          <w:szCs w:val="18"/>
          <w:color w:val="auto"/>
        </w:rPr>
        <w:t>, age 68, was the Executive Vice President of Illinois Tool Works (ITW), a Fortune 250 global, multi-industrial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advanced industrial technology, from 2006 until his retirement in 2012. He previously served ITW as President—Global Auto beginning in 2005 and President—North American Auto from 2003. Mr. Brunner holds a degree in finance from the University of Illinois and an MBA from Baldwin-Wallace University. Mr. Brunner currently serves as the independent Board Chair of Lindsay Corporation, a global manufacturer of irrigation equipment and road safety products, and previously served as a director of NN, Inc., a diversified industrial company that designs and manufactures high-precision components and assemblies on a global basis. Mr. Brunner’s experience and leadership with ITW, a diversified manufacturer with a global footprint, provides valuable insight to our Board on the automotive strategy, business development, mergers and acquisitions, operations, and international issues. He was first elected as a director of the Company in 2009.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5" w:lineRule="exact"/>
        <w:rPr>
          <w:sz w:val="20"/>
          <w:szCs w:val="20"/>
          <w:color w:val="auto"/>
        </w:rPr>
      </w:pPr>
    </w:p>
    <w:p>
      <w:pPr>
        <w:ind w:right="20" w:firstLine="402"/>
        <w:spacing w:after="0" w:line="252" w:lineRule="auto"/>
        <w:rPr>
          <w:sz w:val="20"/>
          <w:szCs w:val="20"/>
          <w:color w:val="auto"/>
        </w:rPr>
      </w:pPr>
      <w:r>
        <w:rPr>
          <w:rFonts w:ascii="Arial" w:cs="Arial" w:eastAsia="Arial" w:hAnsi="Arial"/>
          <w:sz w:val="18"/>
          <w:szCs w:val="18"/>
          <w:b w:val="1"/>
          <w:bCs w:val="1"/>
          <w:color w:val="auto"/>
        </w:rPr>
        <w:t>Mary Campbell</w:t>
      </w:r>
      <w:r>
        <w:rPr>
          <w:rFonts w:ascii="Arial" w:cs="Arial" w:eastAsia="Arial" w:hAnsi="Arial"/>
          <w:sz w:val="18"/>
          <w:szCs w:val="18"/>
          <w:color w:val="auto"/>
        </w:rPr>
        <w:t>, age 58, served as President, vCommerce Ventures of Qurate Retail, Inc., from 2022 until her retirement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2023. Qurate Retail is comprised of a select group of retail brands including QVC, HSN, Ballard Designs, Frontgate, Garnet Hill, and Grandin Road and is a leader in video commerce, and a leader in mobile and social commerce. During her more than 20 years with the company, Ms. Campbell held various leadership positions across the Merchandising, Planning and Commerce Platforms functions. Most recently, and prior to her most recent position, she served as Chief Merchandising Officer of Qurate Retail Group and Chief Commerce Officer of QVC from 2018 to 2022, as Chief Merchandising and Interactive Officer in 2018, as Chief Interactive Experience Officer from 2017 to 2018, and as Executive Vice President, Commerce Platforms for QVC from 2014 to 2017. Ms. Campbell holds a bachelor’s degree in psychology from Central Connecticut State University. Ms. Campbell currently serves as a director of Kontoor Brands, Inc., a global lifestyle apparel company. Through her positions at Qurate Retail Group and QVC, Ms. Campbell has extensive knowledge in consumer driven product innovation, marketing and brand building, and traditional and new media platforms, as well as leading teams for long-term growth and evolution. She was first elected as a director of the Company in 2019.</w:t>
      </w:r>
    </w:p>
    <w:p>
      <w:pPr>
        <w:spacing w:after="0" w:line="210" w:lineRule="exact"/>
        <w:rPr>
          <w:sz w:val="20"/>
          <w:szCs w:val="20"/>
          <w:color w:val="auto"/>
        </w:rPr>
      </w:pPr>
    </w:p>
    <w:p>
      <w:pPr>
        <w:ind w:right="100" w:firstLine="402"/>
        <w:spacing w:after="0" w:line="252" w:lineRule="auto"/>
        <w:rPr>
          <w:sz w:val="20"/>
          <w:szCs w:val="20"/>
          <w:color w:val="auto"/>
        </w:rPr>
      </w:pPr>
      <w:r>
        <w:rPr>
          <w:rFonts w:ascii="Arial" w:cs="Arial" w:eastAsia="Arial" w:hAnsi="Arial"/>
          <w:sz w:val="18"/>
          <w:szCs w:val="18"/>
          <w:b w:val="1"/>
          <w:bCs w:val="1"/>
          <w:color w:val="auto"/>
        </w:rPr>
        <w:t>Karl G. Glassman</w:t>
      </w:r>
      <w:r>
        <w:rPr>
          <w:rFonts w:ascii="Arial" w:cs="Arial" w:eastAsia="Arial" w:hAnsi="Arial"/>
          <w:sz w:val="18"/>
          <w:szCs w:val="18"/>
          <w:color w:val="auto"/>
        </w:rPr>
        <w:t>, age 67, served as the Company's President and Chief Executive Officer since May 2024, and as segment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Specialized Products on a temporary basis until February 2025. Mr. Glassman previously served as Executive Chairman of the Board from 2022 until his retirement in May 2023 and was first appointed Chairman of the Board in 2020. Mr. Glassman served as the Company’s Chief Executive Officer from 2016 to 2021, President from 2013 to 2019, Chief Operating Officer from 2006 to 2015, Executive Vice President from 2002 to 2013, President of the former Residential Furnishings segment from 1999 to 2006, Senior Vice President from 1999 to 2002, and in various capacities since 1982. Mr. Glassman holds a degree in business management and finance from California State University-Long Beach. As the Company's President and CEO with decades of experience in Leggett’s senior management team, Mr. Glassman offers exceptional knowledge of the Company’s operations, strategy, and governance, as well as customers and end markets. Mr. Glassman also served on the Board of Directors of the National Association of Manufacturers through the end of 2022. He was first elected as a director of the Company in 2002.</w:t>
      </w:r>
    </w:p>
    <w:p>
      <w:pPr>
        <w:spacing w:after="0" w:line="132"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b w:val="1"/>
          <w:bCs w:val="1"/>
          <w:color w:val="auto"/>
        </w:rPr>
        <w:t>Joseph W. McClanathan</w:t>
      </w:r>
      <w:r>
        <w:rPr>
          <w:rFonts w:ascii="Arial" w:cs="Arial" w:eastAsia="Arial" w:hAnsi="Arial"/>
          <w:sz w:val="18"/>
          <w:szCs w:val="18"/>
          <w:color w:val="auto"/>
        </w:rPr>
        <w:t>, age 73, served as President and Chief Executive Officer of the Household Products Division of Energizer</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a manufacturer of portable power solutions, from 2007 through his retirement in 2012. Previously, he served Energizer as President and Chief Executive Officer of the Energizer Battery Division from 2004 to 2007, as President—North America from 2002 to 2004, and as Vice President—North America from 2000 to 2002. Mr. McClanathan holds a degree in management from Arizona State University. Mr. McClanathan currently serves as a director of Brunswick Corporation, a market leader in the marine industry. Through his leadership experience at Energizer and as a former director of the Retail Industry Leaders Association, Mr. McClanathan offers an exceptional perspective to the Board on manufacturing operations, marketing and development of international capabilities. He was first elected as a director of the Company in 2005.</w:t>
      </w:r>
    </w:p>
    <w:p>
      <w:pPr>
        <w:spacing w:after="0" w:line="131" w:lineRule="exact"/>
        <w:rPr>
          <w:sz w:val="20"/>
          <w:szCs w:val="20"/>
          <w:color w:val="auto"/>
        </w:rPr>
      </w:pPr>
    </w:p>
    <w:p>
      <w:pPr>
        <w:ind w:right="60" w:firstLine="402"/>
        <w:spacing w:after="0" w:line="252" w:lineRule="auto"/>
        <w:rPr>
          <w:sz w:val="20"/>
          <w:szCs w:val="20"/>
          <w:color w:val="auto"/>
        </w:rPr>
      </w:pPr>
      <w:r>
        <w:rPr>
          <w:rFonts w:ascii="Arial" w:cs="Arial" w:eastAsia="Arial" w:hAnsi="Arial"/>
          <w:sz w:val="18"/>
          <w:szCs w:val="18"/>
          <w:b w:val="1"/>
          <w:bCs w:val="1"/>
          <w:color w:val="auto"/>
        </w:rPr>
        <w:t>Srikanth Padmanabhan</w:t>
      </w:r>
      <w:r>
        <w:rPr>
          <w:rFonts w:ascii="Arial" w:cs="Arial" w:eastAsia="Arial" w:hAnsi="Arial"/>
          <w:sz w:val="18"/>
          <w:szCs w:val="18"/>
          <w:color w:val="auto"/>
        </w:rPr>
        <w:t>, age 61, was appointed Executive Vice President and President, Operations, of Cummins Inc., a global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engines and power solutions, from 2024 until his retirement in April 2025. He previously served as President of its Engine Business segment from 2016 to 2023, as Vice President—Engine Business from 2014 to 2016, Vice President and General Manager of Emission Solutions from 2008 to 2014, and in various other capacities since 1991. Mr. Padmanabhan holds a bachelor’s degree in mechanical engineering from the National Institute of Technology in Trichy, India, a Ph.D. in mechanical engineering from Iowa State University, and has completed the Advanced Management Program at Harvard Business School. Mr. Padmanabhan is a director of Terex Corporation, a global manufacturer of materials processing products for the electric utility industry. With over 30 years at Cummins in a variety of leadership roles, Mr. Padmanabhan offers considerable knowledge of the automotive industry and the industrial sector. He brings extensive experience in managing operations, technology and innovation across a multi-billion-dollar global business. He has lived and worked in India, the United States, Mexico, and the United Kingdom. He was first elected as a director of the Company in 2018.</w:t>
      </w:r>
    </w:p>
    <w:p>
      <w:pPr>
        <w:spacing w:after="0" w:line="132"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b w:val="1"/>
          <w:bCs w:val="1"/>
          <w:color w:val="auto"/>
        </w:rPr>
        <w:t>Jai Shah</w:t>
      </w:r>
      <w:r>
        <w:rPr>
          <w:rFonts w:ascii="Arial" w:cs="Arial" w:eastAsia="Arial" w:hAnsi="Arial"/>
          <w:sz w:val="18"/>
          <w:szCs w:val="18"/>
          <w:color w:val="auto"/>
        </w:rPr>
        <w:t>, age 59, serves as a Group President of Masco Corporation, a Fortune 500 global leader in the design,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branded home improvement and building products. In this position since 2018, Mr. Shah currently has responsibility for operating companies with leading brands in global decorative and rough plumbing in North America and previously headed Masco's platform of decorative architectural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wellness businesses. Mr. Shah is also responsible for Masco’s Corporate Strategic Planning activities. He previously served as President of Delta Faucet Company, a Masco business unit, from 2014 to 2018, as Vice President and Chief Human Resources Officer for Masco from 2012 to 2014, and in various capacities since 2003. Prior to Masco, Mr. Shah held a number of senior management positions at Diversey Corporation and served as Senior Auditor for KPMG Peat Marwick Chartered Accountants. Mr. Shah is a Certified Public Accountant and Chartered Professional Accountant (Canada) and holds an MBA from the University of Michigan, as well as bachelor’s and master’s degrees in accounting from the University of Waterloo in Ontario, Canada. Mr. Shah’s range of experience at Masco in a variety of operational, financial and corporate roles offers the Board a broad perspective on relevant issues facing global corporations, including growth strategy development and implementation, talent management, and adapting to e-business and market innovations. He was first elected as a director of the Company in 2019.</w:t>
      </w:r>
    </w:p>
    <w:p>
      <w:pPr>
        <w:spacing w:after="0" w:line="135" w:lineRule="exact"/>
        <w:rPr>
          <w:sz w:val="20"/>
          <w:szCs w:val="20"/>
          <w:color w:val="auto"/>
        </w:rPr>
      </w:pPr>
    </w:p>
    <w:p>
      <w:pPr>
        <w:ind w:right="160" w:firstLine="402"/>
        <w:spacing w:after="0" w:line="266" w:lineRule="auto"/>
        <w:rPr>
          <w:sz w:val="20"/>
          <w:szCs w:val="20"/>
          <w:color w:val="auto"/>
        </w:rPr>
      </w:pPr>
      <w:r>
        <w:rPr>
          <w:rFonts w:ascii="Arial" w:cs="Arial" w:eastAsia="Arial" w:hAnsi="Arial"/>
          <w:sz w:val="17"/>
          <w:szCs w:val="17"/>
          <w:b w:val="1"/>
          <w:bCs w:val="1"/>
          <w:color w:val="auto"/>
        </w:rPr>
        <w:t>Phoebe A. Wood</w:t>
      </w:r>
      <w:r>
        <w:rPr>
          <w:rFonts w:ascii="Arial" w:cs="Arial" w:eastAsia="Arial" w:hAnsi="Arial"/>
          <w:sz w:val="17"/>
          <w:szCs w:val="17"/>
          <w:color w:val="auto"/>
        </w:rPr>
        <w:t>, age 72, has been a principal in CompaniesWood, a consulting firm specializing in early stage investments, since her</w:t>
      </w:r>
      <w:r>
        <w:rPr>
          <w:rFonts w:ascii="Arial" w:cs="Arial" w:eastAsia="Arial" w:hAnsi="Arial"/>
          <w:sz w:val="17"/>
          <w:szCs w:val="17"/>
          <w:b w:val="1"/>
          <w:bCs w:val="1"/>
          <w:color w:val="auto"/>
        </w:rPr>
        <w:t xml:space="preserve"> </w:t>
      </w:r>
      <w:r>
        <w:rPr>
          <w:rFonts w:ascii="Arial" w:cs="Arial" w:eastAsia="Arial" w:hAnsi="Arial"/>
          <w:sz w:val="17"/>
          <w:szCs w:val="17"/>
          <w:color w:val="auto"/>
        </w:rPr>
        <w:t>2008 retirement as Vice Chairman and Chief Financial Officer of Brown-Forman Corporation, a diversified consumer products manufacturer, where she had served since 2001. Ms. Wood previously held various positions at Atlantic Richfield Company, an oil and gas company, from 1976 to 2000. She has also served as Chief Executive Officer of KirtleyWood LLC, a board advisory firm, since January 2025. Ms. Wood holds a degree in psychology from Smith College and an MBA from UCLA. Ms. Wood is a director of Invesco, Ltd., an independent global investment manager, and PPL Corporation, a utility and energy services company. Ms. Wood previously served as a director of Pioneer Natural Resources, an independent oil and gas company, from 2013 to 2024. From her career in business and various directorships,</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Ms. Wood provides the Board with a wealth of understanding of the strategic, financial and accounting issues the Board addresses in its oversight role. She was first elected as a director of the Company in 2005.</w:t>
      </w:r>
    </w:p>
    <w:p>
      <w:pPr>
        <w:spacing w:after="0" w:line="122"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0000FF"/>
        </w:rPr>
        <w:t>Supplemental Item</w:t>
      </w:r>
      <w:r>
        <w:rPr>
          <w:rFonts w:ascii="Arial" w:cs="Arial" w:eastAsia="Arial" w:hAnsi="Arial"/>
          <w:sz w:val="18"/>
          <w:szCs w:val="18"/>
          <w:color w:val="auto"/>
        </w:rPr>
        <w:t xml:space="preserve"> in Part I on page 31, which includes a listing and description of the positions and offices held by the executive officers of the Company, is incorporated into this section by reference.</w:t>
      </w:r>
    </w:p>
    <w:p>
      <w:pPr>
        <w:spacing w:after="0" w:line="36" w:lineRule="exact"/>
        <w:rPr>
          <w:sz w:val="20"/>
          <w:szCs w:val="20"/>
          <w:color w:val="auto"/>
        </w:rPr>
      </w:pPr>
    </w:p>
    <w:p>
      <w:pPr>
        <w:ind w:right="260" w:firstLine="402"/>
        <w:spacing w:after="0" w:line="255" w:lineRule="auto"/>
        <w:rPr>
          <w:sz w:val="20"/>
          <w:szCs w:val="20"/>
          <w:color w:val="auto"/>
        </w:rPr>
      </w:pPr>
      <w:r>
        <w:rPr>
          <w:rFonts w:ascii="Arial" w:cs="Arial" w:eastAsia="Arial" w:hAnsi="Arial"/>
          <w:sz w:val="18"/>
          <w:szCs w:val="18"/>
          <w:color w:val="auto"/>
        </w:rPr>
        <w:t>The Company has adopted a code of ethics that applies to its chief executive officer, chief financial officer, and chief accounting officer called the Financial Code of Ethics. The Company has also adopted a Code of Business Conduct and Ethics for directors, officers, and employees and Corporate Governance Guidelines. The Financial Code of Ethics, the Code of Business Conduct and Ethics, and the Corporate Governance Guidelines are available on the Company’s website at www.leggett.com/governance. Each of these documents is available in print to any person, without charge, upon request. Such requests may be made to the Company’s Secretary at Leggett &amp; Platt, Incorporated, 1 Leggett Road, Carthage, Missouri 64836.</w:t>
      </w:r>
    </w:p>
    <w:p>
      <w:pPr>
        <w:spacing w:after="0" w:line="48"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The Company intends to satisfy the disclosure requirement under Item 5.05 of Form 8-K by posting any applicable amendment to, or waiver from its Financial Code of Ethics, within four business days, on its website at www.leggett.com/governance for at least a 12-month period. We routinely post important information to our website. However, the Company’s website does not constitute part of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Policy and Procedures</w:t>
      </w:r>
    </w:p>
    <w:p>
      <w:pPr>
        <w:spacing w:after="0" w:line="94" w:lineRule="exact"/>
        <w:rPr>
          <w:sz w:val="20"/>
          <w:szCs w:val="20"/>
          <w:color w:val="auto"/>
        </w:rPr>
      </w:pPr>
    </w:p>
    <w:p>
      <w:pPr>
        <w:ind w:right="220" w:firstLine="402"/>
        <w:spacing w:after="0" w:line="259" w:lineRule="auto"/>
        <w:rPr>
          <w:sz w:val="20"/>
          <w:szCs w:val="20"/>
          <w:color w:val="auto"/>
        </w:rPr>
      </w:pPr>
      <w:r>
        <w:rPr>
          <w:rFonts w:ascii="Arial" w:cs="Arial" w:eastAsia="Arial" w:hAnsi="Arial"/>
          <w:sz w:val="18"/>
          <w:szCs w:val="18"/>
          <w:color w:val="231F20"/>
        </w:rPr>
        <w:t>The Company has adopted an Insider Trading Policy and procedures governing the purchase, sale, and/or other dispositions of the Company’s securities by directors, officers, and employees, and the Company itself, that we believe are reasonably designed to promote compliance with insider trading laws, rules and regulations, and applicable NYSE listing standards. T</w:t>
      </w:r>
      <w:r>
        <w:rPr>
          <w:rFonts w:ascii="Arial" w:cs="Arial" w:eastAsia="Arial" w:hAnsi="Arial"/>
          <w:sz w:val="18"/>
          <w:szCs w:val="18"/>
          <w:color w:val="000000"/>
        </w:rPr>
        <w:t>he Company's</w:t>
      </w:r>
      <w:r>
        <w:rPr>
          <w:rFonts w:ascii="Arial" w:cs="Arial" w:eastAsia="Arial" w:hAnsi="Arial"/>
          <w:sz w:val="18"/>
          <w:szCs w:val="18"/>
          <w:color w:val="231F20"/>
        </w:rPr>
        <w:t xml:space="preserve"> </w:t>
      </w:r>
      <w:r>
        <w:rPr>
          <w:rFonts w:ascii="Arial" w:cs="Arial" w:eastAsia="Arial" w:hAnsi="Arial"/>
          <w:sz w:val="18"/>
          <w:szCs w:val="18"/>
          <w:u w:val="single" w:color="auto"/>
          <w:color w:val="0000FF"/>
        </w:rPr>
        <w:t>Insider Trading Policy</w:t>
      </w:r>
      <w:r>
        <w:rPr>
          <w:rFonts w:ascii="Arial" w:cs="Arial" w:eastAsia="Arial" w:hAnsi="Arial"/>
          <w:sz w:val="18"/>
          <w:szCs w:val="18"/>
          <w:color w:val="231F20"/>
        </w:rPr>
        <w:t xml:space="preserve"> </w:t>
      </w:r>
      <w:r>
        <w:rPr>
          <w:rFonts w:ascii="Arial" w:cs="Arial" w:eastAsia="Arial" w:hAnsi="Arial"/>
          <w:sz w:val="18"/>
          <w:szCs w:val="18"/>
          <w:color w:val="000000"/>
        </w:rPr>
        <w:t>is</w:t>
      </w:r>
      <w:r>
        <w:rPr>
          <w:rFonts w:ascii="Arial" w:cs="Arial" w:eastAsia="Arial" w:hAnsi="Arial"/>
          <w:sz w:val="18"/>
          <w:szCs w:val="18"/>
          <w:color w:val="231F20"/>
        </w:rPr>
        <w:t xml:space="preserve"> </w:t>
      </w:r>
      <w:r>
        <w:rPr>
          <w:rFonts w:ascii="Arial" w:cs="Arial" w:eastAsia="Arial" w:hAnsi="Arial"/>
          <w:sz w:val="18"/>
          <w:szCs w:val="18"/>
          <w:color w:val="000000"/>
        </w:rPr>
        <w:t>included with this Annual Report on Form 10-K as Exhibit 19 and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Executive Compensation.</w:t>
      </w:r>
    </w:p>
    <w:p>
      <w:pPr>
        <w:spacing w:after="0" w:line="107"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The subsections titled “Board’s Oversight of Risk Management,” “Director Compensation,” together with the entire section titled “Executive Compensation and Related Matters” in the Company’s definitive Proxy Statement for the Company’s Annual Meeting of Shareholders to be held on May 21, 2026, are incorporated by reference. No Human Resources and Compensation Committee member had an interlocking relationship as described in Item 407(e)(4) of Regulation S-K.</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0"/>
        <w:spacing w:after="0" w:line="287"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2"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The entire sections titled “Security Ownership” and “Equity Compensation Plan Information” in the Company’s definitive Proxy Statement for the Company’s Annual Meeting of Shareholders to be held on May 21, 2026, are incorporated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07"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The subsections titled “PROPOSAL ONE: Election of Directors,” “Transactions with Related Persons,” “Director Independence and Board Service,” and “Board and Committee Composition and Meetings” in the Company’s definitive Proxy Statement for the Company’s Annual Meeting of Shareholders to be held on May 21, 2026, are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120" w:lineRule="exact"/>
        <w:rPr>
          <w:sz w:val="20"/>
          <w:szCs w:val="20"/>
          <w:color w:val="auto"/>
        </w:rPr>
      </w:pPr>
    </w:p>
    <w:p>
      <w:pPr>
        <w:jc w:val="both"/>
        <w:ind w:right="300" w:firstLine="402"/>
        <w:spacing w:after="0" w:line="312" w:lineRule="auto"/>
        <w:rPr>
          <w:sz w:val="20"/>
          <w:szCs w:val="20"/>
          <w:color w:val="auto"/>
        </w:rPr>
      </w:pPr>
      <w:r>
        <w:rPr>
          <w:rFonts w:ascii="Arial" w:cs="Arial" w:eastAsia="Arial" w:hAnsi="Arial"/>
          <w:sz w:val="17"/>
          <w:szCs w:val="17"/>
          <w:color w:val="auto"/>
        </w:rPr>
        <w:t>The subsections titled “Audit and Non-Audit Fees” and “Pre-Approval Procedures for Audit and Non-Audit Services” in the Company’s definitive Proxy Statement for the Company’s Annual Meeting of Shareholders to be held on May 21, 2026, are incorporated by reference.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20" w:lineRule="exact"/>
        <w:rPr>
          <w:sz w:val="20"/>
          <w:szCs w:val="20"/>
          <w:color w:val="auto"/>
        </w:rPr>
      </w:pPr>
    </w:p>
    <w:p>
      <w:pPr>
        <w:ind w:left="5040"/>
        <w:spacing w:after="0"/>
        <w:rPr>
          <w:sz w:val="20"/>
          <w:szCs w:val="20"/>
          <w:color w:val="auto"/>
        </w:rPr>
      </w:pPr>
      <w:r>
        <w:rPr>
          <w:rFonts w:ascii="Arial" w:cs="Arial" w:eastAsia="Arial" w:hAnsi="Arial"/>
          <w:sz w:val="30"/>
          <w:szCs w:val="30"/>
          <w:b w:val="1"/>
          <w:bCs w:val="1"/>
          <w:color w:val="auto"/>
        </w:rPr>
        <w:t>PART IV</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(a) Financial Statements and Financial Statement Schedule.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Reports, Financial Statements and Notes, and Financial Statement Schedule listed below are included in this Form 10-K:</w:t>
      </w:r>
    </w:p>
    <w:p>
      <w:pPr>
        <w:spacing w:after="0" w:line="48"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9660" w:type="dxa"/>
            <w:vAlign w:val="bottom"/>
            <w:gridSpan w:val="6"/>
            <w:vMerge w:val="restart"/>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Annual Report on Internal Control Over Financial Reporting</w:t>
            </w: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81"/>
        </w:trPr>
        <w:tc>
          <w:tcPr>
            <w:tcW w:w="9660" w:type="dxa"/>
            <w:vAlign w:val="bottom"/>
            <w:gridSpan w:val="6"/>
            <w:vMerge w:val="continue"/>
          </w:tcPr>
          <w:p>
            <w:pPr>
              <w:spacing w:after="0"/>
              <w:rPr>
                <w:sz w:val="15"/>
                <w:szCs w:val="15"/>
                <w:color w:val="auto"/>
              </w:rPr>
            </w:pPr>
          </w:p>
        </w:tc>
        <w:tc>
          <w:tcPr>
            <w:tcW w:w="1180" w:type="dxa"/>
            <w:vAlign w:val="bottom"/>
            <w:gridSpan w:val="3"/>
          </w:tcPr>
          <w:p>
            <w:pPr>
              <w:jc w:val="right"/>
              <w:ind w:right="20"/>
              <w:spacing w:after="0" w:line="181" w:lineRule="exact"/>
              <w:rPr>
                <w:sz w:val="20"/>
                <w:szCs w:val="20"/>
                <w:color w:val="auto"/>
              </w:rPr>
            </w:pPr>
            <w:r>
              <w:rPr>
                <w:rFonts w:ascii="Arial" w:cs="Arial" w:eastAsia="Arial" w:hAnsi="Arial"/>
                <w:sz w:val="18"/>
                <w:szCs w:val="18"/>
                <w:b w:val="1"/>
                <w:bCs w:val="1"/>
                <w:color w:val="0000FF"/>
              </w:rPr>
              <w:t>73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60" w:type="dxa"/>
            <w:vAlign w:val="bottom"/>
            <w:gridSpan w:val="6"/>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E32E1"/>
              </w:rPr>
              <w:t>Report of Independent Registered Public Accounting Firm</w:t>
            </w:r>
            <w:r>
              <w:rPr>
                <w:rFonts w:ascii="Arial" w:cs="Arial" w:eastAsia="Arial" w:hAnsi="Arial"/>
                <w:sz w:val="18"/>
                <w:szCs w:val="18"/>
                <w:color w:val="auto"/>
              </w:rPr>
              <w:t xml:space="preserve"> (PCAOB ID 238)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rPr>
              <w:t>74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6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spacing w:after="0"/>
              <w:rPr>
                <w:sz w:val="20"/>
                <w:szCs w:val="20"/>
                <w:color w:val="auto"/>
              </w:rPr>
            </w:pPr>
            <w:r>
              <w:rPr>
                <w:rFonts w:ascii="Arial" w:cs="Arial" w:eastAsia="Arial" w:hAnsi="Arial"/>
                <w:sz w:val="18"/>
                <w:szCs w:val="18"/>
                <w:color w:val="0000FF"/>
                <w:w w:val="98"/>
              </w:rPr>
              <w:t>Consolidated Balance Sheets at December 31, 2025 and 2024</w:t>
            </w:r>
          </w:p>
        </w:tc>
        <w:tc>
          <w:tcPr>
            <w:tcW w:w="4440" w:type="dxa"/>
            <w:vAlign w:val="bottom"/>
            <w:gridSpan w:val="3"/>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89"/>
              </w:rPr>
              <w:t>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8860" w:type="dxa"/>
            <w:vAlign w:val="bottom"/>
            <w:gridSpan w:val="4"/>
          </w:tcPr>
          <w:p>
            <w:pPr>
              <w:spacing w:after="0"/>
              <w:rPr>
                <w:sz w:val="20"/>
                <w:szCs w:val="20"/>
                <w:color w:val="auto"/>
              </w:rPr>
            </w:pPr>
            <w:r>
              <w:rPr>
                <w:rFonts w:ascii="Arial" w:cs="Arial" w:eastAsia="Arial" w:hAnsi="Arial"/>
                <w:sz w:val="18"/>
                <w:szCs w:val="18"/>
                <w:color w:val="0E32E1"/>
                <w:w w:val="99"/>
              </w:rPr>
              <w:t>Consolidated Statements of Operations for each of the years in the three-year period ended December 31, 2025</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89"/>
              </w:rPr>
              <w:t>77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2960" w:type="dxa"/>
            <w:vAlign w:val="bottom"/>
            <w:shd w:val="clear" w:color="auto" w:fill="0E32E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660" w:hanging="26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0000FF"/>
        </w:rPr>
        <w:t>Consolidated Statements of Comprehensive Income (Loss) for each of the years in the three-year period ended</w:t>
      </w:r>
    </w:p>
    <w:tbl>
      <w:tblPr>
        <w:tblLayout w:type="fixed"/>
        <w:tblInd w:w="4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880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7"/>
                <w:szCs w:val="17"/>
                <w:color w:val="0000FF"/>
              </w:rPr>
              <w:t>December 31, 2025</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Arial" w:cs="Arial" w:eastAsia="Arial" w:hAnsi="Arial"/>
                <w:sz w:val="17"/>
                <w:szCs w:val="17"/>
                <w:b w:val="1"/>
                <w:bCs w:val="1"/>
                <w:color w:val="0000FF"/>
                <w:w w:val="94"/>
              </w:rPr>
              <w:t>78</w:t>
            </w:r>
          </w:p>
        </w:tc>
      </w:tr>
      <w:tr>
        <w:trPr>
          <w:trHeight w:val="214"/>
        </w:trPr>
        <w:tc>
          <w:tcPr>
            <w:tcW w:w="10620" w:type="dxa"/>
            <w:vAlign w:val="bottom"/>
            <w:gridSpan w:val="5"/>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Consolidated Statements of Cash Flows for each of the years in the three-year period ended December 31, 2025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0000FF"/>
                <w:w w:val="89"/>
              </w:rPr>
              <w:t>79</w:t>
            </w:r>
          </w:p>
        </w:tc>
      </w:tr>
      <w:tr>
        <w:trPr>
          <w:trHeight w:val="20"/>
        </w:trPr>
        <w:tc>
          <w:tcPr>
            <w:tcW w:w="2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7" w:lineRule="exact"/>
        <w:rPr>
          <w:sz w:val="20"/>
          <w:szCs w:val="20"/>
          <w:color w:val="auto"/>
        </w:rPr>
      </w:pPr>
    </w:p>
    <w:p>
      <w:pPr>
        <w:ind w:left="660" w:hanging="264"/>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0000FF"/>
        </w:rPr>
        <w:t>Consolidated Statements of Changes in Equity for each of the years in the three-year period ended</w:t>
      </w:r>
    </w:p>
    <w:tbl>
      <w:tblPr>
        <w:tblLayout w:type="fixed"/>
        <w:tblInd w:w="4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7820" w:type="dxa"/>
            <w:vAlign w:val="bottom"/>
            <w:tcBorders>
              <w:top w:val="single" w:sz="8" w:color="0000FF"/>
            </w:tcBorders>
            <w:gridSpan w:val="3"/>
          </w:tcPr>
          <w:p>
            <w:pPr>
              <w:spacing w:after="0" w:line="155" w:lineRule="exact"/>
              <w:rPr>
                <w:sz w:val="20"/>
                <w:szCs w:val="20"/>
                <w:color w:val="auto"/>
              </w:rPr>
            </w:pPr>
            <w:r>
              <w:rPr>
                <w:rFonts w:ascii="Arial" w:cs="Arial" w:eastAsia="Arial" w:hAnsi="Arial"/>
                <w:sz w:val="17"/>
                <w:szCs w:val="17"/>
                <w:color w:val="0000FF"/>
              </w:rPr>
              <w:t>December 31, 2025</w:t>
            </w:r>
          </w:p>
        </w:tc>
        <w:tc>
          <w:tcPr>
            <w:tcW w:w="2540" w:type="dxa"/>
            <w:vAlign w:val="bottom"/>
          </w:tcPr>
          <w:p>
            <w:pPr>
              <w:spacing w:after="0"/>
              <w:rPr>
                <w:sz w:val="14"/>
                <w:szCs w:val="14"/>
                <w:color w:val="auto"/>
              </w:rPr>
            </w:pPr>
          </w:p>
        </w:tc>
        <w:tc>
          <w:tcPr>
            <w:tcW w:w="200" w:type="dxa"/>
            <w:vAlign w:val="bottom"/>
            <w:tcBorders>
              <w:bottom w:val="single" w:sz="8" w:color="0000FF"/>
            </w:tcBorders>
          </w:tcPr>
          <w:p>
            <w:pPr>
              <w:jc w:val="right"/>
              <w:spacing w:after="0" w:line="155" w:lineRule="exact"/>
              <w:rPr>
                <w:sz w:val="20"/>
                <w:szCs w:val="20"/>
                <w:color w:val="auto"/>
              </w:rPr>
            </w:pPr>
            <w:r>
              <w:rPr>
                <w:rFonts w:ascii="Arial" w:cs="Arial" w:eastAsia="Arial" w:hAnsi="Arial"/>
                <w:sz w:val="17"/>
                <w:szCs w:val="17"/>
                <w:b w:val="1"/>
                <w:bCs w:val="1"/>
                <w:color w:val="0000FF"/>
                <w:w w:val="94"/>
              </w:rPr>
              <w:t>80</w:t>
            </w:r>
          </w:p>
        </w:tc>
      </w:tr>
      <w:tr>
        <w:trPr>
          <w:trHeight w:val="214"/>
        </w:trPr>
        <w:tc>
          <w:tcPr>
            <w:tcW w:w="8080" w:type="dxa"/>
            <w:vAlign w:val="bottom"/>
            <w:gridSpan w:val="4"/>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Notes to Consolidated Financial Statements</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0000FF"/>
              </w:rPr>
              <w:t>81</w:t>
            </w:r>
          </w:p>
        </w:tc>
      </w:tr>
      <w:tr>
        <w:trPr>
          <w:trHeight w:val="20"/>
        </w:trPr>
        <w:tc>
          <w:tcPr>
            <w:tcW w:w="2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7" w:lineRule="exact"/>
        <w:rPr>
          <w:sz w:val="20"/>
          <w:szCs w:val="20"/>
          <w:color w:val="auto"/>
        </w:rPr>
      </w:pPr>
    </w:p>
    <w:p>
      <w:pPr>
        <w:ind w:left="660" w:hanging="264"/>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0000FF"/>
        </w:rPr>
        <w:t>Schedule II—Valuation and Qualifying Accounts and Reserves for each of the years in the three-year period ended</w:t>
      </w:r>
    </w:p>
    <w:tbl>
      <w:tblPr>
        <w:tblLayout w:type="fixed"/>
        <w:tblInd w:w="660" w:type="dxa"/>
        <w:tblCellMar>
          <w:top w:w="0" w:type="dxa"/>
          <w:left w:w="0" w:type="dxa"/>
          <w:bottom w:w="0" w:type="dxa"/>
          <w:right w:w="0" w:type="dxa"/>
        </w:tblCellMar>
      </w:tblPr>
      <w:tr>
        <w:trPr>
          <w:trHeight w:val="162"/>
        </w:trPr>
        <w:tc>
          <w:tcPr>
            <w:tcW w:w="158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7"/>
                <w:szCs w:val="17"/>
                <w:color w:val="0000FF"/>
              </w:rPr>
              <w:t>December 31, 2025</w:t>
            </w:r>
          </w:p>
        </w:tc>
        <w:tc>
          <w:tcPr>
            <w:tcW w:w="7480" w:type="dxa"/>
            <w:vAlign w:val="bottom"/>
            <w:tcBorders>
              <w:top w:val="single" w:sz="8" w:color="0000FF"/>
            </w:tcBorders>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Borders>
              <w:bottom w:val="single" w:sz="8" w:color="0000FF"/>
            </w:tcBorders>
          </w:tcPr>
          <w:p>
            <w:pPr>
              <w:jc w:val="right"/>
              <w:spacing w:after="0" w:line="155" w:lineRule="exact"/>
              <w:rPr>
                <w:sz w:val="20"/>
                <w:szCs w:val="20"/>
                <w:color w:val="auto"/>
              </w:rPr>
            </w:pPr>
            <w:r>
              <w:rPr>
                <w:rFonts w:ascii="Arial" w:cs="Arial" w:eastAsia="Arial" w:hAnsi="Arial"/>
                <w:sz w:val="17"/>
                <w:szCs w:val="17"/>
                <w:b w:val="1"/>
                <w:bCs w:val="1"/>
                <w:color w:val="0000FF"/>
                <w:w w:val="98"/>
              </w:rPr>
              <w:t>123</w:t>
            </w:r>
          </w:p>
        </w:tc>
      </w:tr>
    </w:tbl>
    <w:p>
      <w:pPr>
        <w:spacing w:after="0" w:line="276" w:lineRule="exact"/>
        <w:rPr>
          <w:sz w:val="20"/>
          <w:szCs w:val="20"/>
          <w:color w:val="auto"/>
        </w:rPr>
      </w:pPr>
    </w:p>
    <w:p>
      <w:pPr>
        <w:ind w:right="480" w:firstLine="402"/>
        <w:spacing w:after="0" w:line="282" w:lineRule="auto"/>
        <w:rPr>
          <w:sz w:val="20"/>
          <w:szCs w:val="20"/>
          <w:color w:val="auto"/>
        </w:rPr>
      </w:pPr>
      <w:r>
        <w:rPr>
          <w:rFonts w:ascii="Arial" w:cs="Arial" w:eastAsia="Arial" w:hAnsi="Arial"/>
          <w:sz w:val="18"/>
          <w:szCs w:val="18"/>
          <w:color w:val="auto"/>
        </w:rPr>
        <w:t>We have omitted other information schedules because the information is inapplicable, not required, or in the financial statements or notes.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 xml:space="preserve">(b) Exhibits—See </w:t>
      </w:r>
      <w:r>
        <w:rPr>
          <w:rFonts w:ascii="Arial" w:cs="Arial" w:eastAsia="Arial" w:hAnsi="Arial"/>
          <w:sz w:val="21"/>
          <w:szCs w:val="21"/>
          <w:b w:val="1"/>
          <w:bCs w:val="1"/>
          <w:u w:val="single" w:color="auto"/>
          <w:color w:val="0000FF"/>
        </w:rPr>
        <w:t>Exhibit Index</w:t>
      </w:r>
      <w:r>
        <w:rPr>
          <w:rFonts w:ascii="Arial" w:cs="Arial" w:eastAsia="Arial" w:hAnsi="Arial"/>
          <w:sz w:val="21"/>
          <w:szCs w:val="21"/>
          <w:b w:val="1"/>
          <w:bCs w:val="1"/>
          <w:color w:val="auto"/>
        </w:rPr>
        <w:t xml:space="preserve"> beginning on page 124.</w:t>
      </w:r>
    </w:p>
    <w:p>
      <w:pPr>
        <w:spacing w:after="0" w:line="90" w:lineRule="exact"/>
        <w:rPr>
          <w:sz w:val="20"/>
          <w:szCs w:val="20"/>
          <w:color w:val="auto"/>
        </w:rPr>
      </w:pPr>
    </w:p>
    <w:p>
      <w:pPr>
        <w:jc w:val="both"/>
        <w:ind w:right="300" w:firstLine="402"/>
        <w:spacing w:after="0" w:line="265" w:lineRule="auto"/>
        <w:rPr>
          <w:sz w:val="20"/>
          <w:szCs w:val="20"/>
          <w:color w:val="auto"/>
        </w:rPr>
      </w:pPr>
      <w:r>
        <w:rPr>
          <w:rFonts w:ascii="Arial" w:cs="Arial" w:eastAsia="Arial" w:hAnsi="Arial"/>
          <w:sz w:val="18"/>
          <w:szCs w:val="18"/>
          <w:color w:val="auto"/>
        </w:rPr>
        <w:t>We did not file other long-term debt instruments because the total amount of securities authorized under all of these instruments does not exceed ten percent of the total assets of the Company and its subsidiaries on a consolidated basis. We agree to furnish a copy of such instruments to the SEC upon request.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Management’s Annual Report on Internal Control Over Financial Reporting</w:t>
      </w:r>
    </w:p>
    <w:p>
      <w:pPr>
        <w:spacing w:after="0" w:line="115" w:lineRule="exact"/>
        <w:rPr>
          <w:sz w:val="20"/>
          <w:szCs w:val="20"/>
          <w:color w:val="auto"/>
        </w:rPr>
      </w:pPr>
    </w:p>
    <w:p>
      <w:pPr>
        <w:ind w:right="40" w:firstLine="402"/>
        <w:spacing w:after="0" w:line="257" w:lineRule="auto"/>
        <w:rPr>
          <w:sz w:val="20"/>
          <w:szCs w:val="20"/>
          <w:color w:val="auto"/>
        </w:rPr>
      </w:pPr>
      <w:r>
        <w:rPr>
          <w:rFonts w:ascii="Arial" w:cs="Arial" w:eastAsia="Arial" w:hAnsi="Arial"/>
          <w:sz w:val="18"/>
          <w:szCs w:val="18"/>
          <w:color w:val="auto"/>
        </w:rPr>
        <w:t>Management of Leggett &amp; Platt, Incorporated is responsible for establishing and maintaining adequate internal control over financial reporting as defined in Exchange Act Rule 13a-15(f). Leggett &amp; Platt’s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w:t>
      </w:r>
    </w:p>
    <w:p>
      <w:pPr>
        <w:spacing w:after="0" w:line="45" w:lineRule="exact"/>
        <w:rPr>
          <w:sz w:val="20"/>
          <w:szCs w:val="20"/>
          <w:color w:val="auto"/>
        </w:rPr>
      </w:pPr>
    </w:p>
    <w:p>
      <w:pPr>
        <w:ind w:left="580" w:right="340" w:hanging="171"/>
        <w:spacing w:after="0" w:line="279" w:lineRule="auto"/>
        <w:tabs>
          <w:tab w:leader="none" w:pos="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Leggett &amp; Platt;</w:t>
      </w:r>
    </w:p>
    <w:p>
      <w:pPr>
        <w:spacing w:after="0" w:line="1" w:lineRule="exact"/>
        <w:rPr>
          <w:rFonts w:ascii="Arial" w:cs="Arial" w:eastAsia="Arial" w:hAnsi="Arial"/>
          <w:sz w:val="18"/>
          <w:szCs w:val="18"/>
          <w:color w:val="auto"/>
        </w:rPr>
      </w:pPr>
    </w:p>
    <w:p>
      <w:pPr>
        <w:jc w:val="both"/>
        <w:ind w:left="580" w:hanging="171"/>
        <w:spacing w:after="0" w:line="265" w:lineRule="auto"/>
        <w:tabs>
          <w:tab w:leader="none" w:pos="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Leggett &amp; Platt are being made only in accordance with authorizations of management and directors of Leggett &amp; Platt; and</w:t>
      </w:r>
    </w:p>
    <w:p>
      <w:pPr>
        <w:spacing w:after="0" w:line="11" w:lineRule="exact"/>
        <w:rPr>
          <w:rFonts w:ascii="Arial" w:cs="Arial" w:eastAsia="Arial" w:hAnsi="Arial"/>
          <w:sz w:val="18"/>
          <w:szCs w:val="18"/>
          <w:color w:val="auto"/>
        </w:rPr>
      </w:pPr>
    </w:p>
    <w:p>
      <w:pPr>
        <w:ind w:left="580" w:right="340" w:hanging="171"/>
        <w:spacing w:after="0" w:line="282" w:lineRule="auto"/>
        <w:tabs>
          <w:tab w:leader="none" w:pos="5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Leggett &amp; Platt assets that could have a material effect on the financial statements.</w:t>
      </w:r>
    </w:p>
    <w:p>
      <w:pPr>
        <w:spacing w:after="0" w:line="36"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 w:lineRule="exact"/>
        <w:rPr>
          <w:sz w:val="20"/>
          <w:szCs w:val="20"/>
          <w:color w:val="auto"/>
        </w:rPr>
      </w:pPr>
    </w:p>
    <w:p>
      <w:pPr>
        <w:ind w:right="180" w:firstLine="402"/>
        <w:spacing w:after="0" w:line="279" w:lineRule="auto"/>
        <w:rPr>
          <w:sz w:val="20"/>
          <w:szCs w:val="20"/>
          <w:color w:val="auto"/>
        </w:rPr>
      </w:pPr>
      <w:r>
        <w:rPr>
          <w:rFonts w:ascii="Arial" w:cs="Arial" w:eastAsia="Arial" w:hAnsi="Arial"/>
          <w:sz w:val="17"/>
          <w:szCs w:val="17"/>
          <w:color w:val="auto"/>
        </w:rPr>
        <w:t xml:space="preserve">Under the supervision and with the participation of management (including ourselves), we conducted an evaluation of the effectiveness of Leggett &amp; Platt’s internal control over financial reporting, as of December 31, 2025, based on the criteria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Based on the evaluation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we concluded that Leggett &amp; Platt’s internal control over financial reporting was effective as of December 31, 2025.</w:t>
      </w:r>
    </w:p>
    <w:p>
      <w:pPr>
        <w:spacing w:after="0" w:line="43" w:lineRule="exact"/>
        <w:rPr>
          <w:sz w:val="20"/>
          <w:szCs w:val="20"/>
          <w:color w:val="auto"/>
        </w:rPr>
      </w:pPr>
    </w:p>
    <w:p>
      <w:pPr>
        <w:ind w:right="200" w:firstLine="402"/>
        <w:spacing w:after="0" w:line="282" w:lineRule="auto"/>
        <w:rPr>
          <w:sz w:val="20"/>
          <w:szCs w:val="20"/>
          <w:color w:val="auto"/>
        </w:rPr>
      </w:pPr>
      <w:r>
        <w:rPr>
          <w:rFonts w:ascii="Arial" w:cs="Arial" w:eastAsia="Arial" w:hAnsi="Arial"/>
          <w:sz w:val="18"/>
          <w:szCs w:val="18"/>
          <w:color w:val="auto"/>
        </w:rPr>
        <w:t>Leggett &amp; Platt’s internal control over financial reporting, as of December 31, 2025, has been audited by PricewaterhouseCoopers LLP, an independent registered public accounting firm, as stated in their report appearing on page 74 of this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320" w:type="dxa"/>
            <w:vAlign w:val="bottom"/>
            <w:gridSpan w:val="2"/>
          </w:tcPr>
          <w:p>
            <w:pPr>
              <w:ind w:left="20"/>
              <w:spacing w:after="0"/>
              <w:rPr>
                <w:sz w:val="20"/>
                <w:szCs w:val="20"/>
                <w:color w:val="auto"/>
              </w:rPr>
            </w:pPr>
            <w:r>
              <w:rPr>
                <w:rFonts w:ascii="Arial" w:cs="Arial" w:eastAsia="Arial" w:hAnsi="Arial"/>
                <w:sz w:val="20"/>
                <w:szCs w:val="20"/>
                <w:color w:val="auto"/>
              </w:rPr>
              <w:t>/s/ KARL G. GLASSMAN</w:t>
            </w:r>
          </w:p>
        </w:tc>
        <w:tc>
          <w:tcPr>
            <w:tcW w:w="5920" w:type="dxa"/>
            <w:vAlign w:val="bottom"/>
          </w:tcPr>
          <w:p>
            <w:pPr>
              <w:ind w:left="20"/>
              <w:spacing w:after="0"/>
              <w:rPr>
                <w:sz w:val="20"/>
                <w:szCs w:val="20"/>
                <w:color w:val="auto"/>
              </w:rPr>
            </w:pPr>
            <w:r>
              <w:rPr>
                <w:rFonts w:ascii="Arial" w:cs="Arial" w:eastAsia="Arial" w:hAnsi="Arial"/>
                <w:sz w:val="20"/>
                <w:szCs w:val="20"/>
                <w:color w:val="auto"/>
              </w:rPr>
              <w:t>/s/ BENJAMIN M. BURNS</w:t>
            </w:r>
          </w:p>
        </w:tc>
      </w:tr>
      <w:tr>
        <w:trPr>
          <w:trHeight w:val="189"/>
        </w:trPr>
        <w:tc>
          <w:tcPr>
            <w:tcW w:w="49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20"/>
                <w:szCs w:val="20"/>
                <w:color w:val="auto"/>
              </w:rPr>
              <w:t>Karl G. Glassman</w:t>
            </w:r>
          </w:p>
        </w:tc>
        <w:tc>
          <w:tcPr>
            <w:tcW w:w="360" w:type="dxa"/>
            <w:vAlign w:val="bottom"/>
          </w:tcPr>
          <w:p>
            <w:pPr>
              <w:spacing w:after="0"/>
              <w:rPr>
                <w:sz w:val="16"/>
                <w:szCs w:val="16"/>
                <w:color w:val="auto"/>
              </w:rPr>
            </w:pPr>
          </w:p>
        </w:tc>
        <w:tc>
          <w:tcPr>
            <w:tcW w:w="59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20"/>
                <w:szCs w:val="20"/>
                <w:color w:val="auto"/>
              </w:rPr>
              <w:t>Benjamin M. Burns</w:t>
            </w:r>
          </w:p>
        </w:tc>
      </w:tr>
      <w:tr>
        <w:trPr>
          <w:trHeight w:val="258"/>
        </w:trPr>
        <w:tc>
          <w:tcPr>
            <w:tcW w:w="5320" w:type="dxa"/>
            <w:vAlign w:val="bottom"/>
            <w:gridSpan w:val="2"/>
          </w:tcPr>
          <w:p>
            <w:pPr>
              <w:ind w:left="20"/>
              <w:spacing w:after="0"/>
              <w:rPr>
                <w:sz w:val="20"/>
                <w:szCs w:val="20"/>
                <w:color w:val="auto"/>
              </w:rPr>
            </w:pPr>
            <w:r>
              <w:rPr>
                <w:rFonts w:ascii="Arial" w:cs="Arial" w:eastAsia="Arial" w:hAnsi="Arial"/>
                <w:sz w:val="20"/>
                <w:szCs w:val="20"/>
                <w:color w:val="auto"/>
              </w:rPr>
              <w:t>President and Chief Executive Officer</w:t>
            </w:r>
          </w:p>
        </w:tc>
        <w:tc>
          <w:tcPr>
            <w:tcW w:w="5920" w:type="dxa"/>
            <w:vAlign w:val="bottom"/>
          </w:tcPr>
          <w:p>
            <w:pPr>
              <w:ind w:left="20"/>
              <w:spacing w:after="0"/>
              <w:rPr>
                <w:sz w:val="20"/>
                <w:szCs w:val="20"/>
                <w:color w:val="auto"/>
              </w:rPr>
            </w:pPr>
            <w:r>
              <w:rPr>
                <w:rFonts w:ascii="Arial" w:cs="Arial" w:eastAsia="Arial" w:hAnsi="Arial"/>
                <w:sz w:val="20"/>
                <w:szCs w:val="20"/>
                <w:color w:val="auto"/>
              </w:rPr>
              <w:t>Executive Vice President and Chief Financial Officer</w:t>
            </w:r>
          </w:p>
        </w:tc>
      </w:tr>
      <w:tr>
        <w:trPr>
          <w:trHeight w:val="509"/>
        </w:trPr>
        <w:tc>
          <w:tcPr>
            <w:tcW w:w="5320" w:type="dxa"/>
            <w:vAlign w:val="bottom"/>
            <w:gridSpan w:val="2"/>
          </w:tcPr>
          <w:p>
            <w:pPr>
              <w:ind w:left="20"/>
              <w:spacing w:after="0"/>
              <w:rPr>
                <w:sz w:val="20"/>
                <w:szCs w:val="20"/>
                <w:color w:val="auto"/>
              </w:rPr>
            </w:pPr>
            <w:r>
              <w:rPr>
                <w:rFonts w:ascii="Arial" w:cs="Arial" w:eastAsia="Arial" w:hAnsi="Arial"/>
                <w:sz w:val="20"/>
                <w:szCs w:val="20"/>
                <w:color w:val="auto"/>
              </w:rPr>
              <w:t>February 26, 2026</w:t>
            </w:r>
          </w:p>
        </w:tc>
        <w:tc>
          <w:tcPr>
            <w:tcW w:w="5920" w:type="dxa"/>
            <w:vAlign w:val="bottom"/>
          </w:tcPr>
          <w:p>
            <w:pPr>
              <w:ind w:left="20"/>
              <w:spacing w:after="0"/>
              <w:rPr>
                <w:sz w:val="20"/>
                <w:szCs w:val="20"/>
                <w:color w:val="auto"/>
              </w:rPr>
            </w:pPr>
            <w:r>
              <w:rPr>
                <w:rFonts w:ascii="Arial" w:cs="Arial" w:eastAsia="Arial" w:hAnsi="Arial"/>
                <w:sz w:val="20"/>
                <w:szCs w:val="20"/>
                <w:color w:val="auto"/>
              </w:rPr>
              <w:t>February 26, 2026</w:t>
            </w:r>
          </w:p>
        </w:tc>
      </w:tr>
      <w:tr>
        <w:trPr>
          <w:trHeight w:val="825"/>
        </w:trPr>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73</w:t>
            </w:r>
          </w:p>
        </w:tc>
      </w:tr>
      <w:tr>
        <w:trPr>
          <w:trHeight w:val="112"/>
        </w:trPr>
        <w:tc>
          <w:tcPr>
            <w:tcW w:w="4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Leggett &amp; Platt, Incorporated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99" w:lineRule="exact"/>
        <w:rPr>
          <w:sz w:val="20"/>
          <w:szCs w:val="20"/>
          <w:color w:val="auto"/>
        </w:rPr>
      </w:pPr>
    </w:p>
    <w:p>
      <w:pPr>
        <w:ind w:right="100" w:firstLine="402"/>
        <w:spacing w:after="0" w:line="253" w:lineRule="auto"/>
        <w:rPr>
          <w:sz w:val="20"/>
          <w:szCs w:val="20"/>
          <w:color w:val="auto"/>
        </w:rPr>
      </w:pPr>
      <w:r>
        <w:rPr>
          <w:rFonts w:ascii="Arial" w:cs="Arial" w:eastAsia="Arial" w:hAnsi="Arial"/>
          <w:sz w:val="17"/>
          <w:szCs w:val="17"/>
          <w:color w:val="auto"/>
        </w:rPr>
        <w:t>We have audited the accompanying consolidated balance sheets of Leggett &amp; Platt, Incorporated and its subsidiaries (the "Company") as of December 31, 2025 and 2024, and the related consolidated statements of operations, of comprehensive income (loss), of changes in equity and of cash flows for each of the three years in the period ended December 31, 2025, including the related notes and financial statement schedule listed in the index appearing under Item 15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64" w:lineRule="exact"/>
        <w:rPr>
          <w:sz w:val="20"/>
          <w:szCs w:val="20"/>
          <w:color w:val="auto"/>
        </w:rPr>
      </w:pPr>
    </w:p>
    <w:p>
      <w:pPr>
        <w:ind w:right="240" w:firstLine="402"/>
        <w:spacing w:after="0" w:line="25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99" w:lineRule="exact"/>
        <w:rPr>
          <w:sz w:val="20"/>
          <w:szCs w:val="20"/>
          <w:color w:val="auto"/>
        </w:rPr>
      </w:pPr>
    </w:p>
    <w:p>
      <w:pPr>
        <w:ind w:right="60" w:firstLine="402"/>
        <w:spacing w:after="0" w:line="255"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ind w:right="220" w:firstLine="402"/>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2" w:lineRule="exact"/>
        <w:rPr>
          <w:sz w:val="20"/>
          <w:szCs w:val="20"/>
          <w:color w:val="auto"/>
        </w:rPr>
      </w:pPr>
    </w:p>
    <w:p>
      <w:pPr>
        <w:ind w:right="160" w:firstLine="402"/>
        <w:spacing w:after="0" w:line="25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99" w:lineRule="exact"/>
        <w:rPr>
          <w:sz w:val="20"/>
          <w:szCs w:val="20"/>
          <w:color w:val="auto"/>
        </w:rPr>
      </w:pPr>
    </w:p>
    <w:p>
      <w:pPr>
        <w:ind w:firstLine="402"/>
        <w:spacing w:after="0" w:line="25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right="320" w:firstLine="402"/>
        <w:spacing w:after="0" w:line="28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316" w:lineRule="exact"/>
        <w:rPr>
          <w:sz w:val="20"/>
          <w:szCs w:val="20"/>
          <w:color w:val="auto"/>
        </w:rPr>
      </w:pPr>
    </w:p>
    <w:p>
      <w:pPr>
        <w:ind w:right="40"/>
        <w:spacing w:after="0" w:line="386" w:lineRule="auto"/>
        <w:rPr>
          <w:sz w:val="20"/>
          <w:szCs w:val="20"/>
          <w:color w:val="auto"/>
        </w:rPr>
      </w:pPr>
      <w:r>
        <w:rPr>
          <w:rFonts w:ascii="Arial" w:cs="Arial" w:eastAsia="Arial" w:hAnsi="Arial"/>
          <w:sz w:val="17"/>
          <w:szCs w:val="17"/>
          <w:color w:val="auto"/>
        </w:rPr>
        <w:t xml:space="preserve">controls may become inadequate because of changes in conditions, or that the degree of compliance with the policies or procedures may deteriorate. </w:t>
      </w:r>
      <w:r>
        <w:rPr>
          <w:rFonts w:ascii="Arial" w:cs="Arial" w:eastAsia="Arial" w:hAnsi="Arial"/>
          <w:sz w:val="17"/>
          <w:szCs w:val="17"/>
          <w:b w:val="1"/>
          <w:bCs w:val="1"/>
          <w:i w:val="1"/>
          <w:iCs w:val="1"/>
          <w:color w:val="auto"/>
        </w:rPr>
        <w:t>Critical Audit Matters</w:t>
      </w:r>
    </w:p>
    <w:p>
      <w:pPr>
        <w:spacing w:after="0" w:line="1" w:lineRule="exact"/>
        <w:rPr>
          <w:sz w:val="20"/>
          <w:szCs w:val="20"/>
          <w:color w:val="auto"/>
        </w:rPr>
      </w:pPr>
    </w:p>
    <w:p>
      <w:pPr>
        <w:ind w:right="160" w:firstLine="402"/>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Goodwill Impairment Assessments – Bedding and Work Furniture Reporting Units</w:t>
      </w:r>
    </w:p>
    <w:p>
      <w:pPr>
        <w:spacing w:after="0" w:line="97" w:lineRule="exact"/>
        <w:rPr>
          <w:sz w:val="20"/>
          <w:szCs w:val="20"/>
          <w:color w:val="auto"/>
        </w:rPr>
      </w:pPr>
    </w:p>
    <w:p>
      <w:pPr>
        <w:ind w:right="40" w:firstLine="402"/>
        <w:spacing w:after="0" w:line="253" w:lineRule="auto"/>
        <w:rPr>
          <w:sz w:val="20"/>
          <w:szCs w:val="20"/>
          <w:color w:val="auto"/>
        </w:rPr>
      </w:pPr>
      <w:r>
        <w:rPr>
          <w:rFonts w:ascii="Arial" w:cs="Arial" w:eastAsia="Arial" w:hAnsi="Arial"/>
          <w:sz w:val="17"/>
          <w:szCs w:val="17"/>
          <w:color w:val="auto"/>
        </w:rPr>
        <w:t>As described in Notes A, F, and G to the consolidated financial statements, the Company’s goodwill balance was $751.4 million as of December 31, 2025, and the goodwill associated with the Bedding and Work Furniture reporting units was $323.7 million and $55.0 million, respectively. Management assesses goodwill for impairment annually in the second quarter or when triggering events occur. An impairment charge is recognized for the amount by which the carrying amount exceeds the reporting unit's fair value, up to the total amount of goodwill for the reporting unit. Fair value of the reporting units is determined by management using a combination of two valuation methods, a market approach and an income approach. The market approach estimates fair value by first determining price-to-earnings ratios for comparable publicly traded companies with similar characteristics of the reporting unit and applying the ratios to the projected earnings of the reporting unit. The income approach is based on projected future (debt-free) cash flow that is discounted to present value using factors that consider the timing and risk of future cash flows. Discounted cash flow projections are based on 5-year financial forecasts developed from operating plans and economic projections, sales growth, estimates of future expected changes in operating margins, a discount rate, terminal value growth rates, future capital expenditures and changes in working capital requirements.</w:t>
      </w:r>
    </w:p>
    <w:p>
      <w:pPr>
        <w:spacing w:after="0" w:line="66" w:lineRule="exact"/>
        <w:rPr>
          <w:sz w:val="20"/>
          <w:szCs w:val="20"/>
          <w:color w:val="auto"/>
        </w:rPr>
      </w:pPr>
    </w:p>
    <w:p>
      <w:pPr>
        <w:ind w:right="80" w:firstLine="402"/>
        <w:spacing w:after="0" w:line="255" w:lineRule="auto"/>
        <w:rPr>
          <w:sz w:val="20"/>
          <w:szCs w:val="20"/>
          <w:color w:val="auto"/>
        </w:rPr>
      </w:pPr>
      <w:r>
        <w:rPr>
          <w:rFonts w:ascii="Arial" w:cs="Arial" w:eastAsia="Arial" w:hAnsi="Arial"/>
          <w:sz w:val="17"/>
          <w:szCs w:val="17"/>
          <w:color w:val="auto"/>
        </w:rPr>
        <w:t>The principal considerations for our determination that performing procedures relating to the annual goodwill impairment assessments of the Bedding and Work Furniture reporting units is a critical audit matter are (i) the significant judgment by management when developing the fair value estimates of the reporting units; (ii) a high degree of auditor judgment, subjectivity, and effort in performing procedures and evaluating management’s significant assumptions related to (a) sales growth and discount rates used in the income approach for the Bedding and Work Furniture reporting units, (b) estimates of future expected changes in operating margins used in the income approach for the Bedding reporting unit, and (c) price-to-earnings ratios used in the market approach for the Bedding and Work Furniture reporting units; and (iii) the audit effort involved the use of professionals with specialized skill and knowledge.</w:t>
      </w:r>
    </w:p>
    <w:p>
      <w:pPr>
        <w:spacing w:after="0" w:line="48" w:lineRule="exact"/>
        <w:rPr>
          <w:sz w:val="20"/>
          <w:szCs w:val="20"/>
          <w:color w:val="auto"/>
        </w:rPr>
      </w:pPr>
    </w:p>
    <w:p>
      <w:pPr>
        <w:ind w:right="40" w:firstLine="402"/>
        <w:spacing w:after="0" w:line="254"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goodwill impairment assessments, including controls over the valuation of the Bedding and Work Furniture reporting units. These procedures also included, among others, (i) testing management's process for developing the fair value estimates of the reporting units; (ii) evaluating the appropriateness of the income and market valuation approaches used by management; (iii) testing the completeness and accuracy of underlying data used in the valuation approaches; and (iv) evaluating the reasonableness of the significant assumptions used by management related to sales growth, estimates of future expected changes in operating margins, discount rates, and price-to-earnings ratios, as applicable to the reporting units. Evaluating management’s assumptions related to sales growth and estimates of future expected changes in operating margins involved evaluating whether the assumptions used by management were reasonable considering (i) the current and past performance of the reporting units; (ii) the consistency with external market and industry data; and (iii) whether the assumptions were consistent with evidence obtained in other areas of the audit. Professionals with specialized skill and knowledge were used to assist in evaluating (i) the appropriateness of the Company’s valuation approaches and (ii) the reasonableness of the discount rates and price-to-earnings ratios, as applicable to the reporting units.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St. Louis, Missouri</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IV</w:t>
      </w: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LEGGETT &amp; PLATT, INCORPORATED</w:t>
      </w:r>
    </w:p>
    <w:p>
      <w:pPr>
        <w:spacing w:after="0" w:line="98"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Consolidated Balance Sheets</w:t>
      </w:r>
    </w:p>
    <w:p>
      <w:pPr>
        <w:spacing w:after="0" w:line="44"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19685</wp:posOffset>
            </wp:positionV>
            <wp:extent cx="1600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spacing w:after="0" w:line="24" w:lineRule="exact"/>
        <w:rPr>
          <w:sz w:val="20"/>
          <w:szCs w:val="20"/>
          <w:color w:val="auto"/>
        </w:rPr>
      </w:pPr>
    </w:p>
    <w:p>
      <w:pPr>
        <w:ind w:left="20"/>
        <w:spacing w:after="0"/>
        <w:tabs>
          <w:tab w:leader="none" w:pos="9120" w:val="left"/>
          <w:tab w:leader="none" w:pos="10440" w:val="left"/>
        </w:tabs>
        <w:rPr>
          <w:sz w:val="20"/>
          <w:szCs w:val="20"/>
          <w:color w:val="auto"/>
        </w:rPr>
      </w:pPr>
      <w:r>
        <w:rPr>
          <w:rFonts w:ascii="Arial" w:cs="Arial" w:eastAsia="Arial" w:hAnsi="Arial"/>
          <w:sz w:val="16"/>
          <w:szCs w:val="16"/>
          <w:b w:val="1"/>
          <w:bCs w:val="1"/>
          <w:color w:val="auto"/>
        </w:rPr>
        <w:t>(Amounts in millions, except per share data)</w:t>
      </w:r>
      <w:r>
        <w:rPr>
          <w:sz w:val="20"/>
          <w:szCs w:val="20"/>
          <w:color w:val="auto"/>
        </w:rPr>
        <w:tab/>
      </w:r>
      <w:r>
        <w:rPr>
          <w:rFonts w:ascii="Arial" w:cs="Arial" w:eastAsia="Arial" w:hAnsi="Arial"/>
          <w:sz w:val="16"/>
          <w:szCs w:val="16"/>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33590" cy="144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7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Trade receivables, net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433.7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receivables, net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722.6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1,690.5</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Property, Plant and Equipment—at cost</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Machinery and equipment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1,466.3</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Buildings and other</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Land</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Total property, plant and equipment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2,285.9</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Less accumulated depreciation</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Net property, plant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Other intangibles, net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tcPr>
          <w:p>
            <w:pPr>
              <w:ind w:left="76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870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AND EQUITY</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6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Current maturities of long-term debt and short-term debt</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846.4</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Long-term Liabilities</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1,862.8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long-term liabilities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2,125.0</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Commitments and Contingencies</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120"/>
              <w:spacing w:after="0"/>
              <w:rPr>
                <w:sz w:val="20"/>
                <w:szCs w:val="20"/>
                <w:color w:val="auto"/>
              </w:rPr>
            </w:pPr>
            <w:r>
              <w:rPr>
                <w:rFonts w:ascii="Arial" w:cs="Arial" w:eastAsia="Arial" w:hAnsi="Arial"/>
                <w:sz w:val="16"/>
                <w:szCs w:val="16"/>
                <w:b w:val="1"/>
                <w:bCs w:val="1"/>
                <w:color w:val="auto"/>
              </w:rPr>
              <w:t>Equity</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8700" w:type="dxa"/>
            <w:vAlign w:val="bottom"/>
            <w:gridSpan w:val="2"/>
            <w:shd w:val="clear" w:color="auto" w:fill="CCEEFF"/>
          </w:tcPr>
          <w:p>
            <w:pPr>
              <w:ind w:left="320"/>
              <w:spacing w:after="0" w:line="161" w:lineRule="exact"/>
              <w:rPr>
                <w:sz w:val="20"/>
                <w:szCs w:val="20"/>
                <w:color w:val="auto"/>
              </w:rPr>
            </w:pPr>
            <w:r>
              <w:rPr>
                <w:rFonts w:ascii="Arial" w:cs="Arial" w:eastAsia="Arial" w:hAnsi="Arial"/>
                <w:sz w:val="16"/>
                <w:szCs w:val="16"/>
                <w:color w:val="auto"/>
              </w:rPr>
              <w:t>Common stock—authorized, 600.0 shares of $.01 par value; 198.8 shares issued; Preferred stock—authorized,</w:t>
            </w:r>
          </w:p>
        </w:tc>
        <w:tc>
          <w:tcPr>
            <w:tcW w:w="3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100.0 shares; none issued</w:t>
            </w:r>
          </w:p>
        </w:tc>
        <w:tc>
          <w:tcPr>
            <w:tcW w:w="3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Additional contributed capital</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Less treasury stock—at cost (63.3 and 64.4 shares at December 31, 2025 and 2024, respectively)</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tcPr>
          <w:p>
            <w:pPr>
              <w:ind w:left="560"/>
              <w:spacing w:after="0"/>
              <w:rPr>
                <w:sz w:val="20"/>
                <w:szCs w:val="20"/>
                <w:color w:val="auto"/>
              </w:rPr>
            </w:pPr>
            <w:r>
              <w:rPr>
                <w:rFonts w:ascii="Arial" w:cs="Arial" w:eastAsia="Arial" w:hAnsi="Arial"/>
                <w:sz w:val="16"/>
                <w:szCs w:val="16"/>
                <w:b w:val="1"/>
                <w:bCs w:val="1"/>
                <w:color w:val="auto"/>
              </w:rPr>
              <w:t>Total Leggett &amp; Platt, Inc. equity</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689.4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8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870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3,536.4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 except per share data)</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trade sales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4,725.3</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3,871.5</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Gain on sale of Aerospace Products Group</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disposal of assets and businesses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1"/>
        </w:trPr>
        <w:tc>
          <w:tcPr>
            <w:tcW w:w="7360" w:type="dxa"/>
            <w:vAlign w:val="bottom"/>
          </w:tcPr>
          <w:p>
            <w:pPr>
              <w:ind w:left="340"/>
              <w:spacing w:after="0"/>
              <w:rPr>
                <w:sz w:val="20"/>
                <w:szCs w:val="20"/>
                <w:color w:val="auto"/>
              </w:rPr>
            </w:pPr>
            <w:r>
              <w:rPr>
                <w:rFonts w:ascii="Arial" w:cs="Arial" w:eastAsia="Arial" w:hAnsi="Arial"/>
                <w:sz w:val="18"/>
                <w:szCs w:val="18"/>
                <w:color w:val="auto"/>
              </w:rPr>
              <w:t>Earnings (loss) before interest and income taxes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1"/>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Earnings attributable to noncontrolling interest, net of tax</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7360" w:type="dxa"/>
            <w:vAlign w:val="bottom"/>
            <w:tcBorders>
              <w:top w:val="single" w:sz="8" w:color="CCEEFF"/>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Net earnings (loss) attributable to Leggett &amp; Platt, Inc. common shareholders</w:t>
            </w:r>
          </w:p>
        </w:tc>
        <w:tc>
          <w:tcPr>
            <w:tcW w:w="300" w:type="dxa"/>
            <w:vAlign w:val="bottom"/>
            <w:tcBorders>
              <w:top w:val="single" w:sz="8" w:color="auto"/>
              <w:bottom w:val="single" w:sz="8" w:color="auto"/>
            </w:tcBorders>
            <w:shd w:val="clear" w:color="auto" w:fill="CCEEFF"/>
          </w:tcPr>
          <w:p>
            <w:pPr>
              <w:jc w:val="right"/>
              <w:ind w:right="91"/>
              <w:spacing w:after="0" w:line="195"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235.4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1"/>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(511.5)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1"/>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(loss) per share attributable to Leggett &amp; Platt, Inc. common shareholders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6"/>
        </w:trPr>
        <w:tc>
          <w:tcPr>
            <w:tcW w:w="7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r>
      <w:tr>
        <w:trPr>
          <w:trHeight w:val="22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28"/>
        </w:trPr>
        <w:tc>
          <w:tcPr>
            <w:tcW w:w="73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8"/>
        </w:trPr>
        <w:tc>
          <w:tcPr>
            <w:tcW w:w="7360" w:type="dxa"/>
            <w:vAlign w:val="bottom"/>
          </w:tcPr>
          <w:p>
            <w:pPr>
              <w:ind w:left="340"/>
              <w:spacing w:after="0"/>
              <w:rPr>
                <w:sz w:val="20"/>
                <w:szCs w:val="20"/>
                <w:color w:val="auto"/>
              </w:rPr>
            </w:pPr>
            <w:r>
              <w:rPr>
                <w:rFonts w:ascii="Arial" w:cs="Arial" w:eastAsia="Arial" w:hAnsi="Arial"/>
                <w:sz w:val="18"/>
                <w:szCs w:val="18"/>
                <w:color w:val="auto"/>
              </w:rPr>
              <w:t>Cash flow hedges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8"/>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1"/>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2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28"/>
        </w:trPr>
        <w:tc>
          <w:tcPr>
            <w:tcW w:w="7360" w:type="dxa"/>
            <w:vAlign w:val="bottom"/>
          </w:tcPr>
          <w:p>
            <w:pPr>
              <w:ind w:left="3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Leggett &amp; Platt, Inc.</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LEGGETT &amp; PLATT, INCORPORATED</w:t>
      </w:r>
    </w:p>
    <w:p>
      <w:pPr>
        <w:spacing w:after="0" w:line="10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(Amounts in millions)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2023</w:t>
            </w:r>
          </w:p>
        </w:tc>
      </w:tr>
      <w:tr>
        <w:trPr>
          <w:trHeight w:val="20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Net earnings (loss)</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235.4</w:t>
            </w:r>
          </w:p>
        </w:tc>
        <w:tc>
          <w:tcPr>
            <w:tcW w:w="10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(511.4)</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(136.8)</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intangibles and supply agreements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Long-lived asset impairment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443.7</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Goodwill impairment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Increase (decrease) in provision for losses on accounts receivable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Write-down of inventories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Gain from the disposal of Aerospace Products Group</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gain from disposal of assets and businesses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Deferred income tax benefit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(129.2)</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Pension expense (income), net of contributions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7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4"/>
        </w:trPr>
        <w:tc>
          <w:tcPr>
            <w:tcW w:w="7340" w:type="dxa"/>
            <w:vAlign w:val="bottom"/>
          </w:tcPr>
          <w:p>
            <w:pPr>
              <w:ind w:left="440"/>
              <w:spacing w:after="0"/>
              <w:rPr>
                <w:sz w:val="20"/>
                <w:szCs w:val="20"/>
                <w:color w:val="auto"/>
              </w:rPr>
            </w:pPr>
            <w:r>
              <w:rPr>
                <w:rFonts w:ascii="Arial" w:cs="Arial" w:eastAsia="Arial" w:hAnsi="Arial"/>
                <w:sz w:val="16"/>
                <w:szCs w:val="16"/>
                <w:color w:val="auto"/>
              </w:rPr>
              <w:t>Changes in working capital, excluding effects from acquisitions and divestitures: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and other receivables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14"/>
        </w:trPr>
        <w:tc>
          <w:tcPr>
            <w:tcW w:w="734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4"/>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7340" w:type="dxa"/>
            <w:vAlign w:val="bottom"/>
          </w:tcPr>
          <w:p>
            <w:pPr>
              <w:ind w:left="7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4"/>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08"/>
        </w:trPr>
        <w:tc>
          <w:tcPr>
            <w:tcW w:w="7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w:t>
            </w:r>
          </w:p>
        </w:tc>
      </w:tr>
      <w:tr>
        <w:trPr>
          <w:trHeight w:val="208"/>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disposal of Aerospace Products Group</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Proceeds from disposals of assets and businesses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8"/>
        </w:trPr>
        <w:tc>
          <w:tcPr>
            <w:tcW w:w="73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w:t>
            </w:r>
          </w:p>
        </w:tc>
      </w:tr>
      <w:tr>
        <w:trPr>
          <w:trHeight w:val="208"/>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Additions to long-term debt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on long-term debt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Change in commercial paper and short-term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r>
      <w:tr>
        <w:trPr>
          <w:trHeight w:val="214"/>
        </w:trPr>
        <w:tc>
          <w:tcPr>
            <w:tcW w:w="7340" w:type="dxa"/>
            <w:vAlign w:val="bottom"/>
          </w:tcPr>
          <w:p>
            <w:pPr>
              <w:ind w:left="240"/>
              <w:spacing w:after="0"/>
              <w:rPr>
                <w:sz w:val="20"/>
                <w:szCs w:val="20"/>
                <w:color w:val="auto"/>
              </w:rPr>
            </w:pPr>
            <w:r>
              <w:rPr>
                <w:rFonts w:ascii="Arial" w:cs="Arial" w:eastAsia="Arial" w:hAnsi="Arial"/>
                <w:sz w:val="16"/>
                <w:szCs w:val="16"/>
                <w:color w:val="auto"/>
              </w:rPr>
              <w:t>Purchases of common stock</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4"/>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8"/>
        </w:trPr>
        <w:tc>
          <w:tcPr>
            <w:tcW w:w="7340" w:type="dxa"/>
            <w:vAlign w:val="bottom"/>
          </w:tcPr>
          <w:p>
            <w:pPr>
              <w:ind w:left="1100"/>
              <w:spacing w:after="0"/>
              <w:rPr>
                <w:sz w:val="20"/>
                <w:szCs w:val="20"/>
                <w:color w:val="auto"/>
              </w:rPr>
            </w:pPr>
            <w:r>
              <w:rPr>
                <w:rFonts w:ascii="Arial" w:cs="Arial" w:eastAsia="Arial" w:hAnsi="Arial"/>
                <w:sz w:val="16"/>
                <w:szCs w:val="16"/>
                <w:b w:val="1"/>
                <w:bCs w:val="1"/>
                <w:color w:val="auto"/>
              </w:rPr>
              <w:t>Net Cash Used for Financing Activities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(358.8)</w:t>
            </w:r>
          </w:p>
        </w:tc>
      </w:tr>
      <w:tr>
        <w:trPr>
          <w:trHeight w:val="214"/>
        </w:trPr>
        <w:tc>
          <w:tcPr>
            <w:tcW w:w="734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8"/>
        </w:trPr>
        <w:tc>
          <w:tcPr>
            <w:tcW w:w="7340" w:type="dxa"/>
            <w:vAlign w:val="bottom"/>
          </w:tcPr>
          <w:p>
            <w:pPr>
              <w:ind w:left="110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14"/>
        </w:trPr>
        <w:tc>
          <w:tcPr>
            <w:tcW w:w="734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Cash and Cash Equivalents—Beginning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r>
      <w:tr>
        <w:trPr>
          <w:trHeight w:val="208"/>
        </w:trPr>
        <w:tc>
          <w:tcPr>
            <w:tcW w:w="7340" w:type="dxa"/>
            <w:vAlign w:val="bottom"/>
          </w:tcPr>
          <w:p>
            <w:pPr>
              <w:ind w:left="1100"/>
              <w:spacing w:after="0"/>
              <w:rPr>
                <w:sz w:val="20"/>
                <w:szCs w:val="20"/>
                <w:color w:val="auto"/>
              </w:rPr>
            </w:pPr>
            <w:r>
              <w:rPr>
                <w:rFonts w:ascii="Arial" w:cs="Arial" w:eastAsia="Arial" w:hAnsi="Arial"/>
                <w:sz w:val="16"/>
                <w:szCs w:val="16"/>
                <w:b w:val="1"/>
                <w:bCs w:val="1"/>
                <w:color w:val="auto"/>
              </w:rPr>
              <w:t>Cash and Cash Equivalents—End of Year</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7340" w:type="dxa"/>
            <w:vAlign w:val="bottom"/>
          </w:tcPr>
          <w:p>
            <w:pPr>
              <w:ind w:left="340"/>
              <w:spacing w:after="0"/>
              <w:rPr>
                <w:sz w:val="20"/>
                <w:szCs w:val="20"/>
                <w:color w:val="auto"/>
              </w:rPr>
            </w:pPr>
            <w:r>
              <w:rPr>
                <w:rFonts w:ascii="Arial" w:cs="Arial" w:eastAsia="Arial" w:hAnsi="Arial"/>
                <w:sz w:val="16"/>
                <w:szCs w:val="16"/>
                <w:color w:val="auto"/>
              </w:rPr>
              <w:t>Interest paid (net of amounts capitalized)</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100" w:type="dxa"/>
            <w:vAlign w:val="bottom"/>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85.8</w:t>
            </w:r>
          </w:p>
        </w:tc>
      </w:tr>
      <w:tr>
        <w:trPr>
          <w:trHeight w:val="214"/>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 acquired through finance leases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2"/>
        </w:trPr>
        <w:tc>
          <w:tcPr>
            <w:tcW w:w="7340" w:type="dxa"/>
            <w:vAlign w:val="bottom"/>
          </w:tcPr>
          <w:p>
            <w:pPr>
              <w:ind w:left="340"/>
              <w:spacing w:after="0"/>
              <w:rPr>
                <w:sz w:val="20"/>
                <w:szCs w:val="20"/>
                <w:color w:val="auto"/>
              </w:rPr>
            </w:pPr>
            <w:r>
              <w:rPr>
                <w:rFonts w:ascii="Arial" w:cs="Arial" w:eastAsia="Arial" w:hAnsi="Arial"/>
                <w:sz w:val="16"/>
                <w:szCs w:val="16"/>
                <w:color w:val="auto"/>
              </w:rPr>
              <w:t>Capital expenditures in accounts payable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LEGGETT &amp; PLATT, INCORPORATED</w:t>
      </w:r>
    </w:p>
    <w:p>
      <w:pPr>
        <w:spacing w:after="0" w:line="9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Accumulated</w:t>
            </w:r>
          </w:p>
        </w:tc>
        <w:tc>
          <w:tcPr>
            <w:tcW w:w="18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1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(Amounts in millions, except per</w:t>
            </w: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40"/>
              <w:spacing w:after="0" w:line="94"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4"/>
                <w:szCs w:val="4"/>
                <w:color w:val="auto"/>
              </w:rPr>
            </w:pPr>
          </w:p>
        </w:tc>
        <w:tc>
          <w:tcPr>
            <w:tcW w:w="1340" w:type="dxa"/>
            <w:vAlign w:val="bottom"/>
            <w:gridSpan w:val="2"/>
            <w:vMerge w:val="restart"/>
          </w:tcPr>
          <w:p>
            <w:pPr>
              <w:jc w:val="center"/>
              <w:ind w:right="260"/>
              <w:spacing w:after="0" w:line="94" w:lineRule="exact"/>
              <w:rPr>
                <w:sz w:val="20"/>
                <w:szCs w:val="20"/>
                <w:color w:val="auto"/>
              </w:rPr>
            </w:pPr>
            <w:r>
              <w:rPr>
                <w:rFonts w:ascii="Arial" w:cs="Arial" w:eastAsia="Arial" w:hAnsi="Arial"/>
                <w:sz w:val="10"/>
                <w:szCs w:val="10"/>
                <w:b w:val="1"/>
                <w:bCs w:val="1"/>
                <w:color w:val="auto"/>
              </w:rPr>
              <w:t>Other</w:t>
            </w: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94" w:lineRule="exact"/>
              <w:rPr>
                <w:sz w:val="20"/>
                <w:szCs w:val="20"/>
                <w:color w:val="auto"/>
              </w:rPr>
            </w:pPr>
            <w:r>
              <w:rPr>
                <w:rFonts w:ascii="Arial" w:cs="Arial" w:eastAsia="Arial" w:hAnsi="Arial"/>
                <w:sz w:val="10"/>
                <w:szCs w:val="10"/>
                <w:b w:val="1"/>
                <w:bCs w:val="1"/>
                <w:color w:val="auto"/>
              </w:rPr>
              <w:t>Non-</w:t>
            </w:r>
          </w:p>
        </w:tc>
        <w:tc>
          <w:tcPr>
            <w:tcW w:w="160" w:type="dxa"/>
            <w:vAlign w:val="bottom"/>
          </w:tcPr>
          <w:p>
            <w:pPr>
              <w:spacing w:after="0"/>
              <w:rPr>
                <w:sz w:val="4"/>
                <w:szCs w:val="4"/>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180" w:type="dxa"/>
            <w:vAlign w:val="bottom"/>
            <w:gridSpan w:val="3"/>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80" w:type="dxa"/>
            <w:vAlign w:val="bottom"/>
            <w:gridSpan w:val="3"/>
            <w:vMerge w:val="continue"/>
          </w:tcPr>
          <w:p>
            <w:pPr>
              <w:spacing w:after="0"/>
              <w:rPr>
                <w:sz w:val="11"/>
                <w:szCs w:val="1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rPr>
              <w:t>Contributed</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rPr>
              <w:t>Comprehensive</w:t>
            </w: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8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 data)</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Income (Loss)</w:t>
            </w: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6"/>
                <w:szCs w:val="16"/>
                <w:color w:val="auto"/>
              </w:rPr>
            </w:pPr>
          </w:p>
        </w:tc>
        <w:tc>
          <w:tcPr>
            <w:tcW w:w="640" w:type="dxa"/>
            <w:vAlign w:val="bottom"/>
          </w:tcPr>
          <w:p>
            <w:pPr>
              <w:jc w:val="right"/>
              <w:ind w:right="12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2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3,046.0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(93.5)</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1,641.4</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Net earnings (loss) attributable to</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Leggett &amp; Platt, Inc. common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84"/>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197"/>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issued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57"/>
        </w:trPr>
        <w:tc>
          <w:tcPr>
            <w:tcW w:w="2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 xml:space="preserve">(loss), 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Stock-based compensation, net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84"/>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of tax</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December 31, 2023</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575.8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2,661.1</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(65.4)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(1,861.9)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1,334.0</w:t>
            </w:r>
          </w:p>
        </w:tc>
        <w:tc>
          <w:tcPr>
            <w:tcW w:w="0" w:type="dxa"/>
            <w:vAlign w:val="bottom"/>
          </w:tcPr>
          <w:p>
            <w:pPr>
              <w:spacing w:after="0"/>
              <w:rPr>
                <w:sz w:val="1"/>
                <w:szCs w:val="1"/>
                <w:color w:val="auto"/>
              </w:rPr>
            </w:pPr>
          </w:p>
        </w:tc>
      </w:tr>
      <w:tr>
        <w:trPr>
          <w:trHeight w:val="152"/>
        </w:trPr>
        <w:tc>
          <w:tcPr>
            <w:tcW w:w="218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Net earnings (loss) attributable to</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Leggett &amp; Platt, Inc. common</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(511.4)</w:t>
            </w:r>
          </w:p>
        </w:tc>
        <w:tc>
          <w:tcPr>
            <w:tcW w:w="0" w:type="dxa"/>
            <w:vAlign w:val="bottom"/>
          </w:tcPr>
          <w:p>
            <w:pPr>
              <w:spacing w:after="0"/>
              <w:rPr>
                <w:sz w:val="1"/>
                <w:szCs w:val="1"/>
                <w:color w:val="auto"/>
              </w:rPr>
            </w:pPr>
          </w:p>
        </w:tc>
      </w:tr>
      <w:tr>
        <w:trPr>
          <w:trHeight w:val="184"/>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Dividends declared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0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7"/>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Treasury stock issued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5"/>
        </w:trPr>
        <w:tc>
          <w:tcPr>
            <w:tcW w:w="218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57"/>
        </w:trPr>
        <w:tc>
          <w:tcPr>
            <w:tcW w:w="21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 xml:space="preserve">(loss), 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Stock-based compensation, net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4"/>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of tax</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2,064.5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(115.8)</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690.2</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Net earnings (loss) attributable to</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Leggett &amp; Platt, Inc. common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235.4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235.4</w:t>
            </w:r>
          </w:p>
        </w:tc>
        <w:tc>
          <w:tcPr>
            <w:tcW w:w="0" w:type="dxa"/>
            <w:vAlign w:val="bottom"/>
          </w:tcPr>
          <w:p>
            <w:pPr>
              <w:spacing w:after="0"/>
              <w:rPr>
                <w:sz w:val="1"/>
                <w:szCs w:val="1"/>
                <w:color w:val="auto"/>
              </w:rPr>
            </w:pPr>
          </w:p>
        </w:tc>
      </w:tr>
      <w:tr>
        <w:trPr>
          <w:trHeight w:val="184"/>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shareholders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200"/>
        </w:trPr>
        <w:tc>
          <w:tcPr>
            <w:tcW w:w="2180" w:type="dxa"/>
            <w:vAlign w:val="bottom"/>
            <w:gridSpan w:val="3"/>
          </w:tcPr>
          <w:p>
            <w:pPr>
              <w:ind w:left="20"/>
              <w:spacing w:after="0"/>
              <w:rPr>
                <w:sz w:val="20"/>
                <w:szCs w:val="20"/>
                <w:color w:val="auto"/>
              </w:rPr>
            </w:pPr>
            <w:r>
              <w:rPr>
                <w:rFonts w:ascii="Arial" w:cs="Arial" w:eastAsia="Arial" w:hAnsi="Arial"/>
                <w:sz w:val="14"/>
                <w:szCs w:val="14"/>
                <w:color w:val="auto"/>
              </w:rPr>
              <w:t>Treasury stock purchased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02"/>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stock issued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106.8</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106.8</w:t>
            </w:r>
          </w:p>
        </w:tc>
        <w:tc>
          <w:tcPr>
            <w:tcW w:w="0" w:type="dxa"/>
            <w:vAlign w:val="bottom"/>
          </w:tcPr>
          <w:p>
            <w:pPr>
              <w:spacing w:after="0"/>
              <w:rPr>
                <w:sz w:val="1"/>
                <w:szCs w:val="1"/>
                <w:color w:val="auto"/>
              </w:rPr>
            </w:pPr>
          </w:p>
        </w:tc>
      </w:tr>
      <w:tr>
        <w:trPr>
          <w:trHeight w:val="157"/>
        </w:trPr>
        <w:tc>
          <w:tcPr>
            <w:tcW w:w="21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 xml:space="preserve">(loss), net of tax (See </w:t>
            </w:r>
            <w:r>
              <w:rPr>
                <w:rFonts w:ascii="Arial" w:cs="Arial" w:eastAsia="Arial" w:hAnsi="Arial"/>
                <w:sz w:val="14"/>
                <w:szCs w:val="14"/>
                <w:color w:val="0000FF"/>
              </w:rPr>
              <w:t>Note P</w:t>
            </w:r>
            <w:r>
              <w:rPr>
                <w:rFonts w:ascii="Arial" w:cs="Arial" w:eastAsia="Arial" w:hAnsi="Arial"/>
                <w:sz w:val="14"/>
                <w:szCs w:val="14"/>
                <w:color w:val="auto"/>
              </w:rPr>
              <w:t>)</w:t>
            </w: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4"/>
                <w:szCs w:val="14"/>
                <w:color w:val="auto"/>
              </w:rPr>
              <w:t>Stock-based compensation, net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84"/>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of tax</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December 31, 2025</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550.3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2,272.2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(1,793.4)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1,022.6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LEGGETT &amp; PLATT, INCORPORATED</w:t>
      </w:r>
    </w:p>
    <w:p>
      <w:pPr>
        <w:spacing w:after="0" w:line="10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(Dollar amounts in millions, except per share data)</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 2024 and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A—Summary of Significant Accounting Policies</w:t>
      </w:r>
    </w:p>
    <w:p>
      <w:pPr>
        <w:spacing w:after="0" w:line="88"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PRINCIPLES OF CONSOLIDATION: The consolidated financial statements include the accounts of Leggett &amp; Platt, Incorporated and its subsidiaries (we or our). Management does not expect foreign exchange restrictions to significantly impact the ultimate realization of amounts consolidated in the accompanying financial statements for subsidiaries located outside the United States. All intercompany transactions and accounts have been eliminated in consolidation.</w:t>
      </w:r>
    </w:p>
    <w:p>
      <w:pPr>
        <w:spacing w:after="0" w:line="58" w:lineRule="exact"/>
        <w:rPr>
          <w:sz w:val="20"/>
          <w:szCs w:val="20"/>
          <w:color w:val="auto"/>
        </w:rPr>
      </w:pPr>
    </w:p>
    <w:p>
      <w:pPr>
        <w:jc w:val="both"/>
        <w:ind w:right="140" w:firstLine="402"/>
        <w:spacing w:after="0" w:line="265" w:lineRule="auto"/>
        <w:rPr>
          <w:sz w:val="20"/>
          <w:szCs w:val="20"/>
          <w:color w:val="auto"/>
        </w:rPr>
      </w:pPr>
      <w:r>
        <w:rPr>
          <w:rFonts w:ascii="Arial" w:cs="Arial" w:eastAsia="Arial" w:hAnsi="Arial"/>
          <w:sz w:val="18"/>
          <w:szCs w:val="18"/>
          <w:color w:val="auto"/>
        </w:rPr>
        <w:t>ESTIMATES: The preparation of financial statements in conformity with generally accepted accounting principles in the United States of America (GAAP) requires management to make estimates and assumptions that affect the reported amounts of assets, liabilities, revenues, and expenses and the accrual and disclosure of loss contingencies.</w:t>
      </w:r>
    </w:p>
    <w:p>
      <w:pPr>
        <w:spacing w:after="0" w:line="52"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CASH EQUIVALENTS: Cash equivalents include cash in excess of daily requirements, which is invested in various financial instruments with original maturities of three months or less. Restricted cash was less than $2.0 in the years presented and was primarily related to restricted deposits against a short-term borrowing arrangement of a foreign entity.</w:t>
      </w:r>
    </w:p>
    <w:p>
      <w:pPr>
        <w:spacing w:after="0" w:line="38" w:lineRule="exact"/>
        <w:rPr>
          <w:sz w:val="20"/>
          <w:szCs w:val="20"/>
          <w:color w:val="auto"/>
        </w:rPr>
      </w:pPr>
    </w:p>
    <w:p>
      <w:pPr>
        <w:ind w:right="560" w:firstLine="402"/>
        <w:spacing w:after="0" w:line="265" w:lineRule="auto"/>
        <w:rPr>
          <w:sz w:val="20"/>
          <w:szCs w:val="20"/>
          <w:color w:val="auto"/>
        </w:rPr>
      </w:pPr>
      <w:r>
        <w:rPr>
          <w:rFonts w:ascii="Arial" w:cs="Arial" w:eastAsia="Arial" w:hAnsi="Arial"/>
          <w:sz w:val="18"/>
          <w:szCs w:val="18"/>
          <w:color w:val="auto"/>
        </w:rPr>
        <w:t>TRADE AND OTHER RECEIVABLES AND ALLOWANCE FOR DOUBTFUL ACCOUNTS: Trade receivables are recorded at the invoiced amount and generally do not bear interest. Credit is also occasionally extended in the form of a note receivable to facilitate our customers’ operating cycles.</w:t>
      </w:r>
    </w:p>
    <w:p>
      <w:pPr>
        <w:spacing w:after="0" w:line="52"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We participate in trade receivables sales programs in combination with third-party banking institutions and certain customers. Under each of these programs, we sell our entire interest in the trade receivable for 100% of face value, less a discount. Because control of the sold receivable is transferred to the buyer at the time of sale, accounts receivable balances sold are removed from the Consolidated Balance Sheets, and the related proceeds are reported as cash provided by operating activities in the Consolidated Statements of Cash Flows. Approximately $45.0 of trade receivables were sold and removed from our Consolidated Balance Sheets at both December 31, 2025 and 2024.</w:t>
      </w:r>
    </w:p>
    <w:p>
      <w:pPr>
        <w:spacing w:after="0" w:line="61" w:lineRule="exact"/>
        <w:rPr>
          <w:sz w:val="20"/>
          <w:szCs w:val="20"/>
          <w:color w:val="auto"/>
        </w:rPr>
      </w:pPr>
    </w:p>
    <w:p>
      <w:pPr>
        <w:ind w:right="120" w:firstLine="402"/>
        <w:spacing w:after="0" w:line="252" w:lineRule="auto"/>
        <w:rPr>
          <w:sz w:val="20"/>
          <w:szCs w:val="20"/>
          <w:color w:val="auto"/>
        </w:rPr>
      </w:pPr>
      <w:r>
        <w:rPr>
          <w:rFonts w:ascii="Arial" w:cs="Arial" w:eastAsia="Arial" w:hAnsi="Arial"/>
          <w:sz w:val="18"/>
          <w:szCs w:val="18"/>
          <w:color w:val="auto"/>
        </w:rPr>
        <w:t>The allowance for doubtful accounts is an estimate of the amount of probable credit losses. Allowances and non-accrual status designations are determined by individual account reviews by management and are based on several factors, such as the length of time that receivables are past due, the financial health of the companies involved, industry and macroeconomic considerations, and historical loss experience. We also utilize a pool approach to group our receivables with similar risk characteristics. Our pools correspond with our business units, which generally have similar terms, industry-specific conditions, and historical or expected loss patterns. Reserves are established for each pool based on their level of risk exposure. When credit deterioration occurs on a specific customer within a pool, we evaluate the receivable separately to estimate the expected credit loss, based on the specific risk characteristics. A qualitative reserve is also established for any current macroeconomic conditions or reasonable and supportable forecasts that could impact the expected collectability of all or a portion of our receivables portfolio.</w:t>
      </w:r>
    </w:p>
    <w:p>
      <w:pPr>
        <w:spacing w:after="0" w:line="55" w:lineRule="exact"/>
        <w:rPr>
          <w:sz w:val="20"/>
          <w:szCs w:val="20"/>
          <w:color w:val="auto"/>
        </w:rPr>
      </w:pPr>
    </w:p>
    <w:p>
      <w:pPr>
        <w:jc w:val="both"/>
        <w:ind w:right="400" w:firstLine="402"/>
        <w:spacing w:after="0" w:line="265" w:lineRule="auto"/>
        <w:rPr>
          <w:sz w:val="20"/>
          <w:szCs w:val="20"/>
          <w:color w:val="auto"/>
        </w:rPr>
      </w:pPr>
      <w:r>
        <w:rPr>
          <w:rFonts w:ascii="Arial" w:cs="Arial" w:eastAsia="Arial" w:hAnsi="Arial"/>
          <w:sz w:val="18"/>
          <w:szCs w:val="18"/>
          <w:color w:val="auto"/>
        </w:rPr>
        <w:t>Account balances are charged against the allowance when it is probable the receivable will not be recovered. Interest income is not recognized for nonperforming accounts that are placed on non-accrual status. For accounts on non-accrual status, any interest payments received are applied against the balance of the non-accrual account.</w:t>
      </w:r>
    </w:p>
    <w:p>
      <w:pPr>
        <w:spacing w:after="0" w:line="52" w:lineRule="exact"/>
        <w:rPr>
          <w:sz w:val="20"/>
          <w:szCs w:val="20"/>
          <w:color w:val="auto"/>
        </w:rPr>
      </w:pPr>
    </w:p>
    <w:p>
      <w:pPr>
        <w:ind w:right="180" w:firstLine="402"/>
        <w:spacing w:after="0" w:line="255" w:lineRule="auto"/>
        <w:rPr>
          <w:sz w:val="20"/>
          <w:szCs w:val="20"/>
          <w:color w:val="auto"/>
        </w:rPr>
      </w:pPr>
      <w:r>
        <w:rPr>
          <w:rFonts w:ascii="Arial" w:cs="Arial" w:eastAsia="Arial" w:hAnsi="Arial"/>
          <w:sz w:val="18"/>
          <w:szCs w:val="18"/>
          <w:color w:val="auto"/>
        </w:rPr>
        <w:t>ACCOUNTS PAYABLE: Accounts payable are recorded at the invoiced amount for services at the time they are rendered and for inventory based on the delivery terms of the purchase. We occasionally utilize third-party programs that allow our suppliers to be paid earlier at a discount. While we continue to make payments based on our customary terms, a supplier can elect to take payment from a third party earlier with a discount, and in that case, we pay the third party on the original due date of the invoice. Contracts with our suppliers are negotiated independently of supplier participation in the programs, and we cannot increase payment terms pursuant to the programs. The accounts payable settled through the third-party programs, which remain on our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were approximately $115.0 and $120.0 at December 31, 2025 and 2024, respectively.</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Presented below are the approximate outstanding obligations confirmed as valid under the supplier finance program for the year ending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w:t>
      </w:r>
    </w:p>
    <w:p>
      <w:pPr>
        <w:spacing w:after="0" w:line="120" w:lineRule="exact"/>
        <w:rPr>
          <w:sz w:val="20"/>
          <w:szCs w:val="20"/>
          <w:color w:val="auto"/>
        </w:rPr>
      </w:pPr>
    </w:p>
    <w:tbl>
      <w:tblPr>
        <w:tblLayout w:type="fixed"/>
        <w:tblInd w:w="1660" w:type="dxa"/>
        <w:tblCellMar>
          <w:top w:w="0" w:type="dxa"/>
          <w:left w:w="0" w:type="dxa"/>
          <w:bottom w:w="0" w:type="dxa"/>
          <w:right w:w="0" w:type="dxa"/>
        </w:tblCellMar>
      </w:tblPr>
      <w:tr>
        <w:trPr>
          <w:trHeight w:val="196"/>
        </w:trPr>
        <w:tc>
          <w:tcPr>
            <w:tcW w:w="6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December 31, 2025</w:t>
            </w:r>
          </w:p>
        </w:tc>
      </w:tr>
      <w:tr>
        <w:trPr>
          <w:trHeight w:val="222"/>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at the beginning of the year</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r>
      <w:tr>
        <w:trPr>
          <w:trHeight w:val="228"/>
        </w:trPr>
        <w:tc>
          <w:tcPr>
            <w:tcW w:w="6340" w:type="dxa"/>
            <w:vAlign w:val="bottom"/>
          </w:tcPr>
          <w:p>
            <w:pPr>
              <w:ind w:left="20"/>
              <w:spacing w:after="0"/>
              <w:rPr>
                <w:sz w:val="20"/>
                <w:szCs w:val="20"/>
                <w:color w:val="auto"/>
              </w:rPr>
            </w:pPr>
            <w:r>
              <w:rPr>
                <w:rFonts w:ascii="Arial" w:cs="Arial" w:eastAsia="Arial" w:hAnsi="Arial"/>
                <w:sz w:val="18"/>
                <w:szCs w:val="18"/>
                <w:color w:val="auto"/>
              </w:rPr>
              <w:t>Invoices confirmed during the year</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r>
      <w:tr>
        <w:trPr>
          <w:trHeight w:val="22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invoices paid during the year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(505.0)</w:t>
            </w:r>
          </w:p>
        </w:tc>
      </w:tr>
      <w:tr>
        <w:trPr>
          <w:trHeight w:val="221"/>
        </w:trPr>
        <w:tc>
          <w:tcPr>
            <w:tcW w:w="6340" w:type="dxa"/>
            <w:vAlign w:val="bottom"/>
          </w:tcPr>
          <w:p>
            <w:pPr>
              <w:ind w:left="240"/>
              <w:spacing w:after="0"/>
              <w:rPr>
                <w:sz w:val="20"/>
                <w:szCs w:val="20"/>
                <w:color w:val="auto"/>
              </w:rPr>
            </w:pPr>
            <w:r>
              <w:rPr>
                <w:rFonts w:ascii="Arial" w:cs="Arial" w:eastAsia="Arial" w:hAnsi="Arial"/>
                <w:sz w:val="18"/>
                <w:szCs w:val="18"/>
                <w:color w:val="auto"/>
              </w:rPr>
              <w:t>Confirmed obligations outstanding at the end of the year</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components of inventory for each period presented:</w:t>
      </w:r>
    </w:p>
    <w:p>
      <w:pPr>
        <w:spacing w:after="0" w:line="57" w:lineRule="exact"/>
        <w:rPr>
          <w:sz w:val="20"/>
          <w:szCs w:val="20"/>
          <w:color w:val="auto"/>
        </w:rPr>
      </w:pPr>
    </w:p>
    <w:tbl>
      <w:tblPr>
        <w:tblLayout w:type="fixed"/>
        <w:tblInd w:w="218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7"/>
                <w:szCs w:val="17"/>
                <w:color w:val="auto"/>
              </w:rPr>
            </w:pPr>
          </w:p>
        </w:tc>
        <w:tc>
          <w:tcPr>
            <w:tcW w:w="17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r>
      <w:tr>
        <w:trPr>
          <w:trHeight w:val="221"/>
        </w:trPr>
        <w:tc>
          <w:tcPr>
            <w:tcW w:w="32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20" w:firstLine="402"/>
        <w:spacing w:after="0" w:line="259" w:lineRule="auto"/>
        <w:rPr>
          <w:sz w:val="20"/>
          <w:szCs w:val="20"/>
          <w:color w:val="auto"/>
        </w:rPr>
      </w:pPr>
      <w:r>
        <w:rPr>
          <w:rFonts w:ascii="Arial" w:cs="Arial" w:eastAsia="Arial" w:hAnsi="Arial"/>
          <w:sz w:val="18"/>
          <w:szCs w:val="18"/>
          <w:color w:val="auto"/>
        </w:rPr>
        <w:t>All inventories are stated at the lower of cost or net realizable value. For the majority of our inventories, we use the first-in, first-out method which is representative of our standard costs (includes materials, labor, and production overhead at normal production capacity). Remaining inventories are valued using an average-cost method. Inventories are reviewed at least quarterly for slow-moving and potentially obsolete items using actual inventory turnover and, if necessary, are written down to estimated net realizable value.</w:t>
      </w:r>
    </w:p>
    <w:p>
      <w:pPr>
        <w:spacing w:after="0" w:line="45" w:lineRule="exact"/>
        <w:rPr>
          <w:sz w:val="20"/>
          <w:szCs w:val="20"/>
          <w:color w:val="auto"/>
        </w:rPr>
      </w:pPr>
    </w:p>
    <w:p>
      <w:pPr>
        <w:jc w:val="both"/>
        <w:ind w:right="20" w:firstLine="442"/>
        <w:spacing w:after="0" w:line="265" w:lineRule="auto"/>
        <w:rPr>
          <w:sz w:val="20"/>
          <w:szCs w:val="20"/>
          <w:color w:val="auto"/>
        </w:rPr>
      </w:pPr>
      <w:r>
        <w:rPr>
          <w:rFonts w:ascii="Arial" w:cs="Arial" w:eastAsia="Arial" w:hAnsi="Arial"/>
          <w:sz w:val="18"/>
          <w:szCs w:val="18"/>
          <w:color w:val="auto"/>
        </w:rPr>
        <w:t>LOSS CONTINGENCIES: Loss contingencies are accrued when a loss is probable and reasonably estimable. If a range of outcomes is possible, the most likely outcome is used to accrue these costs. If no outcome is more likely, we accrue at the minimum amount of the range. Any insurance recovery is recorded separately if it is determined that a recovery is probable. Legal fees are accrued when incurred.</w:t>
      </w:r>
    </w:p>
    <w:p>
      <w:pPr>
        <w:spacing w:after="0" w:line="52" w:lineRule="exact"/>
        <w:rPr>
          <w:sz w:val="20"/>
          <w:szCs w:val="20"/>
          <w:color w:val="auto"/>
        </w:rPr>
      </w:pPr>
    </w:p>
    <w:p>
      <w:pPr>
        <w:ind w:firstLine="442"/>
        <w:spacing w:after="0" w:line="257" w:lineRule="auto"/>
        <w:rPr>
          <w:sz w:val="20"/>
          <w:szCs w:val="20"/>
          <w:color w:val="auto"/>
        </w:rPr>
      </w:pPr>
      <w:r>
        <w:rPr>
          <w:rFonts w:ascii="Arial" w:cs="Arial" w:eastAsia="Arial" w:hAnsi="Arial"/>
          <w:sz w:val="18"/>
          <w:szCs w:val="18"/>
          <w:color w:val="auto"/>
        </w:rPr>
        <w:t>ACQUISITIONS: When acquisitions occur, we value the assets acquired, liabilities assumed, and any noncontrolling interest in acquired companies at estimated acquisition-date fair values. Goodwill is measured as the excess amount of consideration transferred, compared to fair value of the assets acquired and the liabilities assumed. While we use our best estimates and assumptions to accurately value these items at the acquisition date (as well as contingent consideration, where applicable), our estimates are inherently uncertain and subject to refinement during the measurement period, which may be up to one year from the acquisition date.</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utilize the following methodologies in determining fair value:</w:t>
      </w:r>
    </w:p>
    <w:p>
      <w:pPr>
        <w:spacing w:after="0" w:line="249" w:lineRule="exact"/>
        <w:rPr>
          <w:sz w:val="20"/>
          <w:szCs w:val="20"/>
          <w:color w:val="auto"/>
        </w:rPr>
      </w:pPr>
    </w:p>
    <w:p>
      <w:pPr>
        <w:ind w:left="900" w:right="60" w:hanging="169"/>
        <w:spacing w:after="0" w:line="279"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Inventory is valued at current replacement cost for raw materials, with a step-up for work in process and finished goods items that reflects the amount of ultimate profit earned as of the valuation date.</w:t>
      </w:r>
    </w:p>
    <w:p>
      <w:pPr>
        <w:spacing w:after="0" w:line="1" w:lineRule="exact"/>
        <w:rPr>
          <w:rFonts w:ascii="Arial" w:cs="Arial" w:eastAsia="Arial" w:hAnsi="Arial"/>
          <w:sz w:val="18"/>
          <w:szCs w:val="18"/>
          <w:color w:val="auto"/>
        </w:rPr>
      </w:pPr>
    </w:p>
    <w:p>
      <w:pPr>
        <w:ind w:left="900" w:right="380" w:hanging="169"/>
        <w:spacing w:after="0" w:line="279"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working capital items are generally recorded at carrying value, unless there are known conditions that would impact the ultimate settlement amount of the particular item.</w:t>
      </w:r>
    </w:p>
    <w:p>
      <w:pPr>
        <w:spacing w:after="0" w:line="1" w:lineRule="exact"/>
        <w:rPr>
          <w:rFonts w:ascii="Arial" w:cs="Arial" w:eastAsia="Arial" w:hAnsi="Arial"/>
          <w:sz w:val="18"/>
          <w:szCs w:val="18"/>
          <w:color w:val="auto"/>
        </w:rPr>
      </w:pPr>
    </w:p>
    <w:p>
      <w:pPr>
        <w:ind w:left="900" w:right="480" w:hanging="169"/>
        <w:spacing w:after="0" w:line="279"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Buildings and machinery are valued at an estimated replacement cost for an asset of comparable age and condition. Market pricing of comparable assets is used to estimate replacement cost where available.</w:t>
      </w:r>
    </w:p>
    <w:p>
      <w:pPr>
        <w:spacing w:after="0" w:line="1" w:lineRule="exact"/>
        <w:rPr>
          <w:rFonts w:ascii="Arial" w:cs="Arial" w:eastAsia="Arial" w:hAnsi="Arial"/>
          <w:sz w:val="18"/>
          <w:szCs w:val="18"/>
          <w:color w:val="auto"/>
        </w:rPr>
      </w:pPr>
    </w:p>
    <w:p>
      <w:pPr>
        <w:ind w:left="900" w:right="40" w:hanging="169"/>
        <w:spacing w:after="0" w:line="296" w:lineRule="auto"/>
        <w:tabs>
          <w:tab w:leader="none" w:pos="8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most common identified intangible assets are customer relationships, technology, trademarks, and trade names. Discount rates discussed below are typically derived from a weighted-average cost of capital analysis and adjusted to reflect inherent risks.</w:t>
      </w:r>
    </w:p>
    <w:p>
      <w:pPr>
        <w:ind w:left="1220" w:right="140" w:hanging="167"/>
        <w:spacing w:after="0" w:line="265" w:lineRule="auto"/>
        <w:tabs>
          <w:tab w:leader="none" w:pos="12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Customer relationships are valued using an excess earnings method with various inputs, such as the estimated customer attrition rate, revenue growth rate, operating margins, the amount of contributory asset charges, and an appropriate discount rate. The economic useful life is determined based on historical customer turnover rates.</w:t>
      </w:r>
    </w:p>
    <w:p>
      <w:pPr>
        <w:spacing w:after="0" w:line="11" w:lineRule="exact"/>
        <w:rPr>
          <w:rFonts w:ascii="Arial" w:cs="Arial" w:eastAsia="Arial" w:hAnsi="Arial"/>
          <w:sz w:val="18"/>
          <w:szCs w:val="18"/>
          <w:color w:val="auto"/>
        </w:rPr>
      </w:pPr>
    </w:p>
    <w:p>
      <w:pPr>
        <w:ind w:left="1220" w:right="120" w:hanging="167"/>
        <w:spacing w:after="0" w:line="282" w:lineRule="auto"/>
        <w:tabs>
          <w:tab w:leader="none" w:pos="1216" w:val="left"/>
        </w:tabs>
        <w:numPr>
          <w:ilvl w:val="1"/>
          <w:numId w:val="54"/>
        </w:numPr>
        <w:rPr>
          <w:rFonts w:ascii="Arial" w:cs="Arial" w:eastAsia="Arial" w:hAnsi="Arial"/>
          <w:sz w:val="18"/>
          <w:szCs w:val="18"/>
          <w:color w:val="auto"/>
        </w:rPr>
      </w:pPr>
      <w:r>
        <w:rPr>
          <w:rFonts w:ascii="Arial" w:cs="Arial" w:eastAsia="Arial" w:hAnsi="Arial"/>
          <w:sz w:val="18"/>
          <w:szCs w:val="18"/>
          <w:color w:val="auto"/>
        </w:rPr>
        <w:t>Technology, trademarks, and trade names are typically valued using a relief-from-royalty method with various inputs, such as comparable market royalty rates for items of similar value, future</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20" w:right="60"/>
        <w:spacing w:after="0" w:line="282" w:lineRule="auto"/>
        <w:rPr>
          <w:sz w:val="20"/>
          <w:szCs w:val="20"/>
          <w:color w:val="auto"/>
        </w:rPr>
      </w:pPr>
      <w:r>
        <w:rPr>
          <w:rFonts w:ascii="Arial" w:cs="Arial" w:eastAsia="Arial" w:hAnsi="Arial"/>
          <w:sz w:val="18"/>
          <w:szCs w:val="18"/>
          <w:color w:val="auto"/>
        </w:rPr>
        <w:t>earnings forecast, an appropriate discount rate, and a replacement rate for technology. The economic useful life is determined based on the expected life of the technology, trademarks, and trade names.</w:t>
      </w:r>
    </w:p>
    <w:p>
      <w:pPr>
        <w:spacing w:after="0" w:line="36" w:lineRule="exact"/>
        <w:rPr>
          <w:sz w:val="20"/>
          <w:szCs w:val="20"/>
          <w:color w:val="auto"/>
        </w:rPr>
      </w:pPr>
    </w:p>
    <w:p>
      <w:pPr>
        <w:jc w:val="both"/>
        <w:ind w:firstLine="402"/>
        <w:spacing w:after="0" w:line="283" w:lineRule="auto"/>
        <w:rPr>
          <w:sz w:val="20"/>
          <w:szCs w:val="20"/>
          <w:color w:val="auto"/>
        </w:rPr>
      </w:pPr>
      <w:r>
        <w:rPr>
          <w:rFonts w:ascii="Arial" w:cs="Arial" w:eastAsia="Arial" w:hAnsi="Arial"/>
          <w:sz w:val="17"/>
          <w:szCs w:val="17"/>
          <w:color w:val="auto"/>
        </w:rPr>
        <w:t>PROPERTY, PLANT AND EQUIPMENT: Property, plant and equipment is stated at cost, less accumulated depreciation, and depreciated using the straight-line method over the estimated useful lives. Salvage value, if any, is assumed to be minimal. Accelerated methods are used for tax purposes. These assets are reviewed for recoverability as discussed below in Long-Lived Assets Impairment Evaluation.</w:t>
      </w:r>
    </w:p>
    <w:p>
      <w:pPr>
        <w:spacing w:after="0" w:line="2" w:lineRule="exact"/>
        <w:rPr>
          <w:sz w:val="20"/>
          <w:szCs w:val="20"/>
          <w:color w:val="auto"/>
        </w:rPr>
      </w:pPr>
    </w:p>
    <w:tbl>
      <w:tblPr>
        <w:tblLayout w:type="fixed"/>
        <w:tblInd w:w="204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Useful Life Range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Weighted Average Life</w:t>
            </w:r>
          </w:p>
        </w:tc>
      </w:tr>
      <w:tr>
        <w:trPr>
          <w:trHeight w:val="222"/>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5-30 years</w:t>
            </w:r>
          </w:p>
        </w:tc>
        <w:tc>
          <w:tcPr>
            <w:tcW w:w="24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13 years</w:t>
            </w: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1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4-40 years</w:t>
            </w:r>
          </w:p>
        </w:tc>
        <w:tc>
          <w:tcPr>
            <w:tcW w:w="2100" w:type="dxa"/>
            <w:vAlign w:val="bottom"/>
          </w:tcPr>
          <w:p>
            <w:pPr>
              <w:jc w:val="center"/>
              <w:spacing w:after="0"/>
              <w:rPr>
                <w:sz w:val="20"/>
                <w:szCs w:val="20"/>
                <w:color w:val="auto"/>
              </w:rPr>
            </w:pPr>
            <w:r>
              <w:rPr>
                <w:rFonts w:ascii="Arial" w:cs="Arial" w:eastAsia="Arial" w:hAnsi="Arial"/>
                <w:sz w:val="18"/>
                <w:szCs w:val="18"/>
                <w:color w:val="auto"/>
                <w:w w:val="98"/>
              </w:rPr>
              <w:t>24 years</w:t>
            </w: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2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8"/>
              </w:rPr>
              <w:t>5-15 years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r>
    </w:tbl>
    <w:p>
      <w:pPr>
        <w:spacing w:after="0" w:line="303"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LEASES: At the inception of a contract, we assess whether a contract is, or contains, a lease. Our assessment is based on whether the contract involves the use of a distinct identified asset, whether we obtain the right to substantially all the economic benefit of the asset, and whether we have the right to direct the use of the asset.</w:t>
      </w:r>
    </w:p>
    <w:p>
      <w:pPr>
        <w:spacing w:after="0" w:line="38" w:lineRule="exact"/>
        <w:rPr>
          <w:sz w:val="20"/>
          <w:szCs w:val="20"/>
          <w:color w:val="auto"/>
        </w:rPr>
      </w:pPr>
    </w:p>
    <w:p>
      <w:pPr>
        <w:ind w:right="40" w:firstLine="402"/>
        <w:spacing w:after="0" w:line="265" w:lineRule="auto"/>
        <w:rPr>
          <w:sz w:val="20"/>
          <w:szCs w:val="20"/>
          <w:color w:val="auto"/>
        </w:rPr>
      </w:pPr>
      <w:r>
        <w:rPr>
          <w:rFonts w:ascii="Arial" w:cs="Arial" w:eastAsia="Arial" w:hAnsi="Arial"/>
          <w:sz w:val="18"/>
          <w:szCs w:val="18"/>
          <w:color w:val="auto"/>
        </w:rPr>
        <w:t>Where renewal or termination options are reasonably likely to be exercised, we recognize the option as part of the right-of-use asset and lease liability. Leases with an initial term of 12 months or less are not recorded on the balance sheet; we recognize lease expense for these leases on a straight-line basis over the lease term.</w:t>
      </w:r>
    </w:p>
    <w:p>
      <w:pPr>
        <w:spacing w:after="0" w:line="52"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As most of our leases do not provide an implicit rate, we use our incremental borrowing rate in determining the present value of the lease payments. We apply a portfolio approach for determining the incremental borrowing rate based on the applicable lease terms and the economic environment in the various regions where our operations are located.</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Right-of-use assets are reviewed for recoverability as discussed below in Long-Lived Assets Impairment Evaluation.</w:t>
      </w:r>
    </w:p>
    <w:p>
      <w:pPr>
        <w:spacing w:after="0" w:line="88" w:lineRule="exact"/>
        <w:rPr>
          <w:sz w:val="20"/>
          <w:szCs w:val="20"/>
          <w:color w:val="auto"/>
        </w:rPr>
      </w:pPr>
    </w:p>
    <w:p>
      <w:pPr>
        <w:ind w:right="140" w:firstLine="442"/>
        <w:spacing w:after="0" w:line="257" w:lineRule="auto"/>
        <w:rPr>
          <w:sz w:val="20"/>
          <w:szCs w:val="20"/>
          <w:color w:val="auto"/>
        </w:rPr>
      </w:pPr>
      <w:r>
        <w:rPr>
          <w:rFonts w:ascii="Arial" w:cs="Arial" w:eastAsia="Arial" w:hAnsi="Arial"/>
          <w:sz w:val="18"/>
          <w:szCs w:val="18"/>
          <w:color w:val="auto"/>
        </w:rPr>
        <w:t>GOODWILL: Goodwill results from the acquisition of existing businesses. We test goodwill for impairment at the reporting unit level which are the business groups that are one level below the operating segments for which discrete financial information is available. We have six reporting units. We perform our testing annually in the second quarter, or when triggering events occur. We use a quantitative analysis, comparing the fair value of each reporting unit with its carrying amount. An impairment charge is recognized for the amount by which the carrying amount exceeds the reporting unit's fair value, up to the total amount of goodwill for the reporting unit.</w:t>
      </w:r>
    </w:p>
    <w:p>
      <w:pPr>
        <w:spacing w:after="0" w:line="58"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Fair value of reporting units is determined using a combination of two valuation methods: a market approach and an income approach. Absent an indication of fair value from a potential buyer or similar specific transaction, we believe that the use of these two methods provides a reasonable estimate of a reporting unit’s fair value. Assumptions common to both methods are operating plans and economic projections, which are used to project future revenues, earnings, and after-tax cash flows for each reporting unit. These assumptions are applied consistently for both methods.</w:t>
      </w:r>
    </w:p>
    <w:p>
      <w:pPr>
        <w:spacing w:after="0" w:line="58" w:lineRule="exact"/>
        <w:rPr>
          <w:sz w:val="20"/>
          <w:szCs w:val="20"/>
          <w:color w:val="auto"/>
        </w:rPr>
      </w:pPr>
    </w:p>
    <w:p>
      <w:pPr>
        <w:ind w:right="20" w:firstLine="402"/>
        <w:spacing w:after="0" w:line="255" w:lineRule="auto"/>
        <w:rPr>
          <w:sz w:val="20"/>
          <w:szCs w:val="20"/>
          <w:color w:val="auto"/>
        </w:rPr>
      </w:pPr>
      <w:r>
        <w:rPr>
          <w:rFonts w:ascii="Arial" w:cs="Arial" w:eastAsia="Arial" w:hAnsi="Arial"/>
          <w:sz w:val="18"/>
          <w:szCs w:val="18"/>
          <w:color w:val="auto"/>
        </w:rPr>
        <w:t>The market approach estimates fair value by first determining price-to-earnings ratios for comparable publicly-traded companies with similar characteristics of the reporting unit. The price-to-earnings ratio for comparable companies is based upon current enterprise value compared to the projected earnings for the next two years. The enterprise value is based upon current market capitalization and includes a control premium. Projected earnings are based upon market analysts’ projections. The earnings ratios are applied to the projected earnings of the comparable reporting unit to estimate fair value. Management believes this approach is appropriate because it provides a fair value estimate using multiples from entities with operations and economic characteristics comparable to our reporting units.</w:t>
      </w:r>
    </w:p>
    <w:p>
      <w:pPr>
        <w:spacing w:after="0" w:line="48" w:lineRule="exact"/>
        <w:rPr>
          <w:sz w:val="20"/>
          <w:szCs w:val="20"/>
          <w:color w:val="auto"/>
        </w:rPr>
      </w:pPr>
    </w:p>
    <w:p>
      <w:pPr>
        <w:ind w:right="120" w:firstLine="402"/>
        <w:spacing w:after="0" w:line="255" w:lineRule="auto"/>
        <w:rPr>
          <w:sz w:val="20"/>
          <w:szCs w:val="20"/>
          <w:color w:val="auto"/>
        </w:rPr>
      </w:pPr>
      <w:r>
        <w:rPr>
          <w:rFonts w:ascii="Arial" w:cs="Arial" w:eastAsia="Arial" w:hAnsi="Arial"/>
          <w:sz w:val="18"/>
          <w:szCs w:val="18"/>
          <w:color w:val="auto"/>
        </w:rPr>
        <w:t>The income approach is based on projected future (debt-free) cash flow that is discounted to present value using factors that consider the timing and risk of future cash flows. Management believes that this approach is appropriate because it provides a fair value estimate based upon the reporting unit’s expected long-term operating cash flow performance. Discounted cash flow projections are based on 5-year financial forecasts developed from operating plans and economic projections noted above, sales growth, estimates of future expected changes in operating margins, an appropriate discount rate, terminal value growth rates, future capital expenditures, and changes in working capital requirements. There are inherent assumptions and judgments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required in the analysis of goodwill impairment. It is possible that assumptions underlying the impairment analysis will change in such a manner that impairment in value may occur in the future.</w:t>
      </w:r>
    </w:p>
    <w:p>
      <w:pPr>
        <w:spacing w:after="0" w:line="36" w:lineRule="exact"/>
        <w:rPr>
          <w:sz w:val="20"/>
          <w:szCs w:val="20"/>
          <w:color w:val="auto"/>
        </w:rPr>
      </w:pPr>
    </w:p>
    <w:p>
      <w:pPr>
        <w:jc w:val="both"/>
        <w:ind w:right="100" w:firstLine="402"/>
        <w:spacing w:after="0" w:line="265" w:lineRule="auto"/>
        <w:rPr>
          <w:sz w:val="20"/>
          <w:szCs w:val="20"/>
          <w:color w:val="auto"/>
        </w:rPr>
      </w:pPr>
      <w:r>
        <w:rPr>
          <w:rFonts w:ascii="Arial" w:cs="Arial" w:eastAsia="Arial" w:hAnsi="Arial"/>
          <w:sz w:val="18"/>
          <w:szCs w:val="18"/>
          <w:color w:val="auto"/>
        </w:rPr>
        <w:t>OTHER INTANGIBLE ASSETS: Other intangibles are stated at cost, less accumulated amortization, and substantially all are amortized using the straight-line method over their estimated useful lives. These assets are evaluated for impairment as discussed below in Long-Lived Assets Impairment Evaluation.</w:t>
      </w:r>
    </w:p>
    <w:p>
      <w:pPr>
        <w:spacing w:after="0" w:line="8" w:lineRule="exact"/>
        <w:rPr>
          <w:sz w:val="20"/>
          <w:szCs w:val="20"/>
          <w:color w:val="auto"/>
        </w:rPr>
      </w:pPr>
    </w:p>
    <w:tbl>
      <w:tblPr>
        <w:tblLayout w:type="fixed"/>
        <w:tblInd w:w="206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180" w:type="dxa"/>
            <w:vAlign w:val="bottom"/>
            <w:gridSpan w:val="2"/>
          </w:tcPr>
          <w:p>
            <w:pPr>
              <w:ind w:left="360"/>
              <w:spacing w:after="0"/>
              <w:rPr>
                <w:sz w:val="20"/>
                <w:szCs w:val="20"/>
                <w:color w:val="auto"/>
              </w:rPr>
            </w:pPr>
            <w:r>
              <w:rPr>
                <w:rFonts w:ascii="Arial" w:cs="Arial" w:eastAsia="Arial" w:hAnsi="Arial"/>
                <w:sz w:val="14"/>
                <w:szCs w:val="14"/>
                <w:b w:val="1"/>
                <w:bCs w:val="1"/>
                <w:color w:val="auto"/>
              </w:rPr>
              <w:t>Useful Life Range</w:t>
            </w: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Weighted Average Life</w:t>
            </w:r>
          </w:p>
        </w:tc>
      </w:tr>
      <w:tr>
        <w:trPr>
          <w:trHeight w:val="222"/>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9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6-20 years</w:t>
            </w:r>
          </w:p>
        </w:tc>
        <w:tc>
          <w:tcPr>
            <w:tcW w:w="2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w w:val="98"/>
              </w:rPr>
              <w:t>12 years</w:t>
            </w:r>
          </w:p>
        </w:tc>
      </w:tr>
    </w:tbl>
    <w:p>
      <w:pPr>
        <w:spacing w:after="0" w:line="155" w:lineRule="exact"/>
        <w:rPr>
          <w:sz w:val="20"/>
          <w:szCs w:val="20"/>
          <w:color w:val="auto"/>
        </w:rPr>
      </w:pPr>
    </w:p>
    <w:p>
      <w:pPr>
        <w:ind w:right="80" w:firstLine="442"/>
        <w:spacing w:after="0" w:line="265" w:lineRule="auto"/>
        <w:rPr>
          <w:sz w:val="20"/>
          <w:szCs w:val="20"/>
          <w:color w:val="auto"/>
        </w:rPr>
      </w:pPr>
      <w:r>
        <w:rPr>
          <w:rFonts w:ascii="Arial" w:cs="Arial" w:eastAsia="Arial" w:hAnsi="Arial"/>
          <w:sz w:val="18"/>
          <w:szCs w:val="18"/>
          <w:color w:val="auto"/>
        </w:rPr>
        <w:t>LONG-LIVED ASSETS IMPAIRMENT EVALUATION: We review long-lived assets for recoverability annually and whenever events or changes in circumstances indicate carrying values may not be recoverable. Fair value is calculated using similar methodologies as discussed above in Acquisitions.</w:t>
      </w:r>
    </w:p>
    <w:p>
      <w:pPr>
        <w:spacing w:after="0" w:line="52" w:lineRule="exact"/>
        <w:rPr>
          <w:sz w:val="20"/>
          <w:szCs w:val="20"/>
          <w:color w:val="auto"/>
        </w:rPr>
      </w:pPr>
    </w:p>
    <w:p>
      <w:pPr>
        <w:jc w:val="both"/>
        <w:ind w:right="120" w:firstLine="442"/>
        <w:spacing w:after="0" w:line="265" w:lineRule="auto"/>
        <w:rPr>
          <w:sz w:val="20"/>
          <w:szCs w:val="20"/>
          <w:color w:val="auto"/>
        </w:rPr>
      </w:pPr>
      <w:r>
        <w:rPr>
          <w:rFonts w:ascii="Arial" w:cs="Arial" w:eastAsia="Arial" w:hAnsi="Arial"/>
          <w:sz w:val="18"/>
          <w:szCs w:val="18"/>
          <w:i w:val="1"/>
          <w:iCs w:val="1"/>
          <w:color w:val="auto"/>
        </w:rPr>
        <w:t>Assets Held and Used</w:t>
      </w:r>
      <w:r>
        <w:rPr>
          <w:rFonts w:ascii="Arial" w:cs="Arial" w:eastAsia="Arial" w:hAnsi="Arial"/>
          <w:sz w:val="18"/>
          <w:szCs w:val="18"/>
          <w:color w:val="auto"/>
        </w:rPr>
        <w:t>—Assets are tested for recoverability at the asset group level. If the carrying value of an asset group exceeds its</w:t>
      </w:r>
      <w:r>
        <w:rPr>
          <w:rFonts w:ascii="Arial" w:cs="Arial" w:eastAsia="Arial" w:hAnsi="Arial"/>
          <w:sz w:val="18"/>
          <w:szCs w:val="18"/>
          <w:i w:val="1"/>
          <w:iCs w:val="1"/>
          <w:color w:val="auto"/>
        </w:rPr>
        <w:t xml:space="preserve"> </w:t>
      </w:r>
      <w:r>
        <w:rPr>
          <w:rFonts w:ascii="Arial" w:cs="Arial" w:eastAsia="Arial" w:hAnsi="Arial"/>
          <w:sz w:val="18"/>
          <w:szCs w:val="18"/>
          <w:color w:val="auto"/>
        </w:rPr>
        <w:t>undiscounted expected cash flows, then a fair value analysis is performed. An impairment charge is recognized if the carrying value exceeds the fair value.</w:t>
      </w:r>
    </w:p>
    <w:p>
      <w:pPr>
        <w:spacing w:after="0" w:line="38" w:lineRule="exact"/>
        <w:rPr>
          <w:sz w:val="20"/>
          <w:szCs w:val="20"/>
          <w:color w:val="auto"/>
        </w:rPr>
      </w:pPr>
    </w:p>
    <w:p>
      <w:pPr>
        <w:ind w:right="40" w:firstLine="442"/>
        <w:spacing w:after="0" w:line="257" w:lineRule="auto"/>
        <w:rPr>
          <w:sz w:val="20"/>
          <w:szCs w:val="20"/>
          <w:color w:val="auto"/>
        </w:rPr>
      </w:pPr>
      <w:r>
        <w:rPr>
          <w:rFonts w:ascii="Arial" w:cs="Arial" w:eastAsia="Arial" w:hAnsi="Arial"/>
          <w:sz w:val="18"/>
          <w:szCs w:val="18"/>
          <w:i w:val="1"/>
          <w:iCs w:val="1"/>
          <w:color w:val="auto"/>
        </w:rPr>
        <w:t>Assets Held for Sale</w:t>
      </w:r>
      <w:r>
        <w:rPr>
          <w:rFonts w:ascii="Arial" w:cs="Arial" w:eastAsia="Arial" w:hAnsi="Arial"/>
          <w:sz w:val="18"/>
          <w:szCs w:val="18"/>
          <w:color w:val="auto"/>
        </w:rPr>
        <w:t>—An asset or business is classified as held for sale when (i) management commits to a plan to sell and it is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marketed; (ii) it is available for immediate sale and the sale is expected to be completed within one year; and (iii) it is unlikely significant changes to the plan will be made or that the plan will be withdrawn. Upon being classified as held for sale, a recoverability test is performed, and an impairment charge is recognized if the carrying value exceeds the fair value less cost to sell. These assets are no longer depreciated or amortized. We had no material held-for-sale assets or liabilities at December 31, 2025 and December 31, 2024, respectively.</w:t>
      </w:r>
    </w:p>
    <w:p>
      <w:pPr>
        <w:spacing w:after="0" w:line="58" w:lineRule="exact"/>
        <w:rPr>
          <w:sz w:val="20"/>
          <w:szCs w:val="20"/>
          <w:color w:val="auto"/>
        </w:rPr>
      </w:pPr>
    </w:p>
    <w:p>
      <w:pPr>
        <w:ind w:right="200" w:firstLine="442"/>
        <w:spacing w:after="0" w:line="265" w:lineRule="auto"/>
        <w:rPr>
          <w:sz w:val="20"/>
          <w:szCs w:val="20"/>
          <w:color w:val="auto"/>
        </w:rPr>
      </w:pPr>
      <w:r>
        <w:rPr>
          <w:rFonts w:ascii="Arial" w:cs="Arial" w:eastAsia="Arial" w:hAnsi="Arial"/>
          <w:sz w:val="18"/>
          <w:szCs w:val="18"/>
          <w:color w:val="auto"/>
        </w:rPr>
        <w:t>STOCK-BASED COMPENSATION: The cost of employee services received in exchange for all equity awards granted is based on the fair market value of the award as of the grant date. Expense is recognized net of an estimated forfeiture rate using the straight-line method over the vesting period of the award.</w:t>
      </w:r>
    </w:p>
    <w:p>
      <w:pPr>
        <w:spacing w:after="0" w:line="52" w:lineRule="exact"/>
        <w:rPr>
          <w:sz w:val="20"/>
          <w:szCs w:val="20"/>
          <w:color w:val="auto"/>
        </w:rPr>
      </w:pPr>
    </w:p>
    <w:p>
      <w:pPr>
        <w:ind w:firstLine="402"/>
        <w:spacing w:after="0" w:line="257" w:lineRule="auto"/>
        <w:rPr>
          <w:sz w:val="20"/>
          <w:szCs w:val="20"/>
          <w:color w:val="auto"/>
        </w:rPr>
      </w:pPr>
      <w:r>
        <w:rPr>
          <w:rFonts w:ascii="Arial" w:cs="Arial" w:eastAsia="Arial" w:hAnsi="Arial"/>
          <w:sz w:val="18"/>
          <w:szCs w:val="18"/>
          <w:color w:val="auto"/>
        </w:rPr>
        <w:t>REVENUE RECOGNITION: We recognize revenue when performance obligations, under the terms of a contract with our customers, are satisfied. Substantially all of our revenue is recognized upon transfer of control of our products to our customers, which is generally upon shipment from our facilities or upon delivery to our customers' facilities, and is dependent on the terms of the specific contract. This conclusion considers the point at which our customers have the ability to direct the use of and obtain substantially all of the remaining benefits of the products that were transferred. Substantially all performance obligations are satisfied within one year or less.</w:t>
      </w:r>
    </w:p>
    <w:p>
      <w:pPr>
        <w:spacing w:after="0" w:line="45" w:lineRule="exact"/>
        <w:rPr>
          <w:sz w:val="20"/>
          <w:szCs w:val="20"/>
          <w:color w:val="auto"/>
        </w:rPr>
      </w:pPr>
    </w:p>
    <w:p>
      <w:pPr>
        <w:jc w:val="both"/>
        <w:ind w:right="420" w:firstLine="402"/>
        <w:spacing w:after="0" w:line="288" w:lineRule="auto"/>
        <w:rPr>
          <w:sz w:val="20"/>
          <w:szCs w:val="20"/>
          <w:color w:val="auto"/>
        </w:rPr>
      </w:pPr>
      <w:r>
        <w:rPr>
          <w:rFonts w:ascii="Arial" w:cs="Arial" w:eastAsia="Arial" w:hAnsi="Arial"/>
          <w:sz w:val="17"/>
          <w:szCs w:val="17"/>
          <w:color w:val="auto"/>
        </w:rPr>
        <w:t>The amount of consideration we receive and revenue we recognize varies with changes in various sales allowances, discounts, and rebates (variable consideration) that we offer to our customers. We reduce revenue by our estimates of variable consideration, based on contract terms and historical experience. Changes in estimates of variable consideration for the periods presented were not material.</w:t>
      </w:r>
    </w:p>
    <w:p>
      <w:pPr>
        <w:spacing w:after="0" w:line="34" w:lineRule="exact"/>
        <w:rPr>
          <w:sz w:val="20"/>
          <w:szCs w:val="20"/>
          <w:color w:val="auto"/>
        </w:rPr>
      </w:pPr>
    </w:p>
    <w:p>
      <w:pPr>
        <w:ind w:right="20" w:firstLine="402"/>
        <w:spacing w:after="0" w:line="257" w:lineRule="auto"/>
        <w:rPr>
          <w:sz w:val="20"/>
          <w:szCs w:val="20"/>
          <w:color w:val="auto"/>
        </w:rPr>
      </w:pPr>
      <w:r>
        <w:rPr>
          <w:rFonts w:ascii="Arial" w:cs="Arial" w:eastAsia="Arial" w:hAnsi="Arial"/>
          <w:sz w:val="18"/>
          <w:szCs w:val="18"/>
          <w:color w:val="auto"/>
        </w:rPr>
        <w:t>Some of our customers have the right to return products after transfer. For this right, we recognize an estimated refund liability and a corresponding reduction to revenue, based on historical returns experience. We also record an asset and a corresponding reduction to cost of sales for our right to recover products from customers upon settling the refund liability. We reduce the carrying amount of these assets by estimates of costs associated with the recovery and any additional expected reduction in value. Our refund liability and the corresponding asset associated with our right to recover products from our customers were immaterial for the periods presented.</w:t>
      </w:r>
    </w:p>
    <w:p>
      <w:pPr>
        <w:spacing w:after="0" w:line="58"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We expect that at contract inception, the time period between when we transfer a promised good to our customer and our receipt of payment from that customer for that good will be one year or less (our typical trade terms are 30 to 60 days for U.S. customers and up to 90 days for our international customers). We generally expense costs of obtaining a contract because the amortization period would be one year or less. Sales, value added, and other taxes collected in connection with revenue-producing activities are excluded from revenue.</w:t>
      </w:r>
    </w:p>
    <w:p>
      <w:pPr>
        <w:spacing w:after="0" w:line="45" w:lineRule="exact"/>
        <w:rPr>
          <w:sz w:val="20"/>
          <w:szCs w:val="20"/>
          <w:color w:val="auto"/>
        </w:rPr>
      </w:pPr>
    </w:p>
    <w:p>
      <w:pPr>
        <w:ind w:right="240" w:firstLine="402"/>
        <w:spacing w:after="0" w:line="282" w:lineRule="auto"/>
        <w:rPr>
          <w:sz w:val="20"/>
          <w:szCs w:val="20"/>
          <w:color w:val="auto"/>
        </w:rPr>
      </w:pPr>
      <w:r>
        <w:rPr>
          <w:rFonts w:ascii="Arial" w:cs="Arial" w:eastAsia="Arial" w:hAnsi="Arial"/>
          <w:sz w:val="18"/>
          <w:szCs w:val="18"/>
          <w:color w:val="auto"/>
        </w:rPr>
        <w:t>SHIPPING AND HANDLING FEES AND COSTS: Shipping and handling costs are included as a component of “Cost of goods sold” in our Consolidated Statement of Operations.</w:t>
      </w:r>
    </w:p>
    <w:p>
      <w:pPr>
        <w:spacing w:after="0" w:line="36" w:lineRule="exact"/>
        <w:rPr>
          <w:sz w:val="20"/>
          <w:szCs w:val="20"/>
          <w:color w:val="auto"/>
        </w:rPr>
      </w:pPr>
    </w:p>
    <w:p>
      <w:pPr>
        <w:ind w:right="100" w:firstLine="402"/>
        <w:spacing w:after="0" w:line="265" w:lineRule="auto"/>
        <w:rPr>
          <w:sz w:val="20"/>
          <w:szCs w:val="20"/>
          <w:color w:val="auto"/>
        </w:rPr>
      </w:pPr>
      <w:r>
        <w:rPr>
          <w:rFonts w:ascii="Arial" w:cs="Arial" w:eastAsia="Arial" w:hAnsi="Arial"/>
          <w:sz w:val="18"/>
          <w:szCs w:val="18"/>
          <w:color w:val="auto"/>
        </w:rPr>
        <w:t>RESTRUCTURING COSTS: Restructuring costs are items such as employee termination, contract termination, plant closure, and asset relocation costs related to exit activities or workforce reductions. Restructuring-related items are primarily the write-down of inventories and professional services. We recognize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a liability for costs associated with an exit or disposal activity when the liability is incurred. Certain termination benefits for which employees are required to render service are recognized ratably over the respective future service periods.</w:t>
      </w:r>
    </w:p>
    <w:p>
      <w:pPr>
        <w:spacing w:after="0" w:line="36" w:lineRule="exact"/>
        <w:rPr>
          <w:sz w:val="20"/>
          <w:szCs w:val="20"/>
          <w:color w:val="auto"/>
        </w:rPr>
      </w:pPr>
    </w:p>
    <w:p>
      <w:pPr>
        <w:ind w:right="60" w:firstLine="402"/>
        <w:spacing w:after="0" w:line="253" w:lineRule="auto"/>
        <w:rPr>
          <w:sz w:val="20"/>
          <w:szCs w:val="20"/>
          <w:color w:val="auto"/>
        </w:rPr>
      </w:pPr>
      <w:r>
        <w:rPr>
          <w:rFonts w:ascii="Arial" w:cs="Arial" w:eastAsia="Arial" w:hAnsi="Arial"/>
          <w:sz w:val="18"/>
          <w:szCs w:val="18"/>
          <w:color w:val="auto"/>
        </w:rPr>
        <w:t>INCOME TAXES: 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basis of our assets and liabilities and are adjusted for changes in tax rates and laws, as appropriate. A valuation allowance is provided to reduce deferred tax assets when management cannot conclude that it is more likely than not that a tax benefit will be realized. A provision is also made for incremental withholding taxes on undistributed earnings of foreign subsidiaries and related companies to the extent that such earnings are not deemed to be indefinitely invested.</w:t>
      </w:r>
    </w:p>
    <w:p>
      <w:pPr>
        <w:spacing w:after="0" w:line="51" w:lineRule="exact"/>
        <w:rPr>
          <w:sz w:val="20"/>
          <w:szCs w:val="20"/>
          <w:color w:val="auto"/>
        </w:rPr>
      </w:pPr>
    </w:p>
    <w:p>
      <w:pPr>
        <w:ind w:right="40" w:firstLine="402"/>
        <w:spacing w:after="0" w:line="255" w:lineRule="auto"/>
        <w:rPr>
          <w:sz w:val="20"/>
          <w:szCs w:val="20"/>
          <w:color w:val="auto"/>
        </w:rPr>
      </w:pPr>
      <w:r>
        <w:rPr>
          <w:rFonts w:ascii="Arial" w:cs="Arial" w:eastAsia="Arial" w:hAnsi="Arial"/>
          <w:sz w:val="18"/>
          <w:szCs w:val="18"/>
          <w:color w:val="auto"/>
        </w:rPr>
        <w:t>The calculation of our U.S., state, and foreign tax liabilities involves dealing with uncertainties in the application of complex global tax laws. We recognize potential liabilities for anticipated tax issues which might arise in the United States and other tax jurisdictions based on management’s estimate of whether, and the extent to which, additional taxes will be due. If payment of these amounts ultimately proves to be unnecessary, the reversal of the liabilities would result in tax benefits being recognized in the period when we determine the liabilities are no longer necessary. Conversely, if the estimate of tax liabilities proves to be less than the ultimate tax assessment, a further charge to tax expense would result.</w:t>
      </w:r>
    </w:p>
    <w:p>
      <w:pPr>
        <w:spacing w:after="0" w:line="61" w:lineRule="exact"/>
        <w:rPr>
          <w:sz w:val="20"/>
          <w:szCs w:val="20"/>
          <w:color w:val="auto"/>
        </w:rPr>
      </w:pPr>
    </w:p>
    <w:p>
      <w:pPr>
        <w:ind w:right="100" w:firstLine="402"/>
        <w:spacing w:after="0" w:line="265" w:lineRule="auto"/>
        <w:rPr>
          <w:sz w:val="20"/>
          <w:szCs w:val="20"/>
          <w:color w:val="auto"/>
        </w:rPr>
      </w:pPr>
      <w:r>
        <w:rPr>
          <w:rFonts w:ascii="Arial" w:cs="Arial" w:eastAsia="Arial" w:hAnsi="Arial"/>
          <w:sz w:val="18"/>
          <w:szCs w:val="18"/>
          <w:color w:val="auto"/>
        </w:rPr>
        <w:t xml:space="preserve">CONCENTRATION OF CREDIT RISKS, EXPOSURES, AND FINANCIAL INSTRUMENTS: We manufacture, market, and distribute products for the various end markets described in </w:t>
      </w:r>
      <w:r>
        <w:rPr>
          <w:rFonts w:ascii="Arial" w:cs="Arial" w:eastAsia="Arial" w:hAnsi="Arial"/>
          <w:sz w:val="18"/>
          <w:szCs w:val="18"/>
          <w:u w:val="single" w:color="auto"/>
          <w:color w:val="0000FF"/>
        </w:rPr>
        <w:t>Note C</w:t>
      </w:r>
      <w:r>
        <w:rPr>
          <w:rFonts w:ascii="Arial" w:cs="Arial" w:eastAsia="Arial" w:hAnsi="Arial"/>
          <w:sz w:val="18"/>
          <w:szCs w:val="18"/>
          <w:color w:val="auto"/>
        </w:rPr>
        <w:t>. Our operations are principally located in the United States, although we also have operations in Europe, China, Canada, Mexico, and other countries.</w:t>
      </w:r>
    </w:p>
    <w:p>
      <w:pPr>
        <w:spacing w:after="0" w:line="52" w:lineRule="exact"/>
        <w:rPr>
          <w:sz w:val="20"/>
          <w:szCs w:val="20"/>
          <w:color w:val="auto"/>
        </w:rPr>
      </w:pPr>
    </w:p>
    <w:p>
      <w:pPr>
        <w:ind w:firstLine="402"/>
        <w:spacing w:after="0" w:line="257" w:lineRule="auto"/>
        <w:rPr>
          <w:sz w:val="20"/>
          <w:szCs w:val="20"/>
          <w:color w:val="auto"/>
        </w:rPr>
      </w:pPr>
      <w:r>
        <w:rPr>
          <w:rFonts w:ascii="Arial" w:cs="Arial" w:eastAsia="Arial" w:hAnsi="Arial"/>
          <w:sz w:val="18"/>
          <w:szCs w:val="18"/>
          <w:color w:val="auto"/>
        </w:rPr>
        <w:t>At December 31, 2025, we had cash and cash equivalents of $587.4 primarily invested in interest-bearing bank accounts and in bank time deposits with original maturities of three months or less. A substantial majority of these funds are held in the international accounts of our foreign operations. Due to capital requirements in various jurisdictions, $101.4 of this cash was inaccessible for repatriation at year end. Inaccessible cash balances can fluctuate based on the amount of foreign distributable profits available and the variability of our foreign cash balances.</w:t>
      </w:r>
    </w:p>
    <w:p>
      <w:pPr>
        <w:spacing w:after="0" w:line="45" w:lineRule="exact"/>
        <w:rPr>
          <w:sz w:val="20"/>
          <w:szCs w:val="20"/>
          <w:color w:val="auto"/>
        </w:rPr>
      </w:pPr>
    </w:p>
    <w:p>
      <w:pPr>
        <w:ind w:right="340" w:firstLine="402"/>
        <w:spacing w:after="0" w:line="282" w:lineRule="auto"/>
        <w:rPr>
          <w:sz w:val="20"/>
          <w:szCs w:val="20"/>
          <w:color w:val="auto"/>
        </w:rPr>
      </w:pPr>
      <w:r>
        <w:rPr>
          <w:rFonts w:ascii="Arial" w:cs="Arial" w:eastAsia="Arial" w:hAnsi="Arial"/>
          <w:sz w:val="18"/>
          <w:szCs w:val="18"/>
          <w:color w:val="auto"/>
        </w:rPr>
        <w:t>We maintain allowances for potential credit losses. We perform ongoing credit evaluations of our customers’ financial conditions and generally require no collateral from our customers, some of which are highly leveraged.</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no material guarantees or liabilities for product warranties which require disclosure.</w:t>
      </w:r>
    </w:p>
    <w:p>
      <w:pPr>
        <w:spacing w:after="0" w:line="101" w:lineRule="exact"/>
        <w:rPr>
          <w:sz w:val="20"/>
          <w:szCs w:val="20"/>
          <w:color w:val="auto"/>
        </w:rPr>
      </w:pPr>
    </w:p>
    <w:p>
      <w:pPr>
        <w:jc w:val="both"/>
        <w:ind w:right="60" w:firstLine="402"/>
        <w:spacing w:after="0" w:line="265" w:lineRule="auto"/>
        <w:rPr>
          <w:sz w:val="20"/>
          <w:szCs w:val="20"/>
          <w:color w:val="auto"/>
        </w:rPr>
      </w:pPr>
      <w:r>
        <w:rPr>
          <w:rFonts w:ascii="Arial" w:cs="Arial" w:eastAsia="Arial" w:hAnsi="Arial"/>
          <w:sz w:val="18"/>
          <w:szCs w:val="18"/>
          <w:color w:val="auto"/>
        </w:rPr>
        <w:t>From time to time, we enter into contracts to hedge foreign currency denominated transactions and interest rates related to our debt. To minimize the risk of counterparty default, only highly-rated financial institutions that meet certain requirements are used. We do not anticipate that any of the financial institution counterparties will default on their obligations.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 of cash and short-term financial instruments approximates fair value due to the short maturity of those instruments.</w:t>
      </w:r>
    </w:p>
    <w:p>
      <w:pPr>
        <w:spacing w:after="0" w:line="101" w:lineRule="exact"/>
        <w:rPr>
          <w:sz w:val="20"/>
          <w:szCs w:val="20"/>
          <w:color w:val="auto"/>
        </w:rPr>
      </w:pPr>
    </w:p>
    <w:p>
      <w:pPr>
        <w:ind w:right="100" w:firstLine="402"/>
        <w:spacing w:after="0" w:line="257" w:lineRule="auto"/>
        <w:rPr>
          <w:sz w:val="20"/>
          <w:szCs w:val="20"/>
          <w:color w:val="auto"/>
        </w:rPr>
      </w:pPr>
      <w:r>
        <w:rPr>
          <w:rFonts w:ascii="Arial" w:cs="Arial" w:eastAsia="Arial" w:hAnsi="Arial"/>
          <w:sz w:val="18"/>
          <w:szCs w:val="18"/>
          <w:color w:val="auto"/>
        </w:rPr>
        <w:t>OTHER RISKS: Although we obtain insurance for workers’ compensation, automobile, product and general liability, property loss, and medical claims, we have elected to retain a significant portion of expected losses through the use of deductibles. Accrued liabilities include estimates for unpaid reported claims and for claims incurred but not yet reported. Provisions for losses are recorded based upon reasonable estimates of the aggregate liability for claims incurred utilizing our prior experience and information provided by our third-party administrators and insurance carriers.</w:t>
      </w:r>
    </w:p>
    <w:p>
      <w:pPr>
        <w:spacing w:after="0" w:line="58" w:lineRule="exact"/>
        <w:rPr>
          <w:sz w:val="20"/>
          <w:szCs w:val="20"/>
          <w:color w:val="auto"/>
        </w:rPr>
      </w:pPr>
    </w:p>
    <w:p>
      <w:pPr>
        <w:ind w:right="300" w:firstLine="402"/>
        <w:spacing w:after="0" w:line="259" w:lineRule="auto"/>
        <w:rPr>
          <w:sz w:val="20"/>
          <w:szCs w:val="20"/>
          <w:color w:val="auto"/>
        </w:rPr>
      </w:pPr>
      <w:r>
        <w:rPr>
          <w:rFonts w:ascii="Arial" w:cs="Arial" w:eastAsia="Arial" w:hAnsi="Arial"/>
          <w:sz w:val="18"/>
          <w:szCs w:val="18"/>
          <w:color w:val="auto"/>
        </w:rPr>
        <w:t>DERIVATIVE FINANCIAL INSTRUMENTS: We utilize derivative financial instruments to manage market and financial risks related to foreign currency and interest rates. We seek to use derivative contracts that qualify for hedge accounting treatment; however, some instruments that economically manage currency risk may not qualify for hedge accounting treatment. It is our policy not to speculate using derivative instruments.</w:t>
      </w:r>
    </w:p>
    <w:p>
      <w:pPr>
        <w:spacing w:after="0" w:line="45" w:lineRule="exact"/>
        <w:rPr>
          <w:sz w:val="20"/>
          <w:szCs w:val="20"/>
          <w:color w:val="auto"/>
        </w:rPr>
      </w:pPr>
    </w:p>
    <w:p>
      <w:pPr>
        <w:ind w:right="440" w:firstLine="402"/>
        <w:spacing w:after="0" w:line="282" w:lineRule="auto"/>
        <w:rPr>
          <w:sz w:val="20"/>
          <w:szCs w:val="20"/>
          <w:color w:val="auto"/>
        </w:rPr>
      </w:pPr>
      <w:r>
        <w:rPr>
          <w:rFonts w:ascii="Arial" w:cs="Arial" w:eastAsia="Arial" w:hAnsi="Arial"/>
          <w:sz w:val="18"/>
          <w:szCs w:val="18"/>
          <w:color w:val="auto"/>
        </w:rPr>
        <w:t>Under hedge accounting, we formally document our hedge relationships, including identification of the hedging instruments and the hedged items, as well as our risk management objectives and strategies for</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entering into the hedge transaction. The process includes designating derivative instruments as hedges of specific assets, liabilities, firm commitments, or forecasted transactions. We also formally assess, both at inception and on a quarterly basis thereafter, whether the underlying transactions are probable of occurring. If it is determined that an underlying transaction is probable of not occurring, deferred gains or losses are recorded in the Consolidated Statements of Operations on the same line item as the hedged item.</w:t>
      </w:r>
    </w:p>
    <w:p>
      <w:pPr>
        <w:spacing w:after="0" w:line="58" w:lineRule="exact"/>
        <w:rPr>
          <w:sz w:val="20"/>
          <w:szCs w:val="20"/>
          <w:color w:val="auto"/>
        </w:rPr>
      </w:pPr>
    </w:p>
    <w:p>
      <w:pPr>
        <w:ind w:right="20" w:firstLine="402"/>
        <w:spacing w:after="0" w:line="282" w:lineRule="auto"/>
        <w:rPr>
          <w:sz w:val="20"/>
          <w:szCs w:val="20"/>
          <w:color w:val="auto"/>
        </w:rPr>
      </w:pPr>
      <w:r>
        <w:rPr>
          <w:rFonts w:ascii="Arial" w:cs="Arial" w:eastAsia="Arial" w:hAnsi="Arial"/>
          <w:sz w:val="18"/>
          <w:szCs w:val="18"/>
          <w:color w:val="auto"/>
        </w:rPr>
        <w:t>On the date the contract is entered into, we designate the derivative as one of the following types of hedging instruments and account for it as follows:</w:t>
      </w:r>
    </w:p>
    <w:p>
      <w:pPr>
        <w:spacing w:after="0" w:line="23" w:lineRule="exact"/>
        <w:rPr>
          <w:sz w:val="20"/>
          <w:szCs w:val="20"/>
          <w:color w:val="auto"/>
        </w:rPr>
      </w:pPr>
    </w:p>
    <w:p>
      <w:pPr>
        <w:ind w:left="400" w:firstLine="402"/>
        <w:spacing w:after="0" w:line="252" w:lineRule="auto"/>
        <w:rPr>
          <w:sz w:val="20"/>
          <w:szCs w:val="20"/>
          <w:color w:val="auto"/>
        </w:rPr>
      </w:pPr>
      <w:r>
        <w:rPr>
          <w:rFonts w:ascii="Arial" w:cs="Arial" w:eastAsia="Arial" w:hAnsi="Arial"/>
          <w:sz w:val="18"/>
          <w:szCs w:val="18"/>
          <w:i w:val="1"/>
          <w:iCs w:val="1"/>
          <w:color w:val="auto"/>
        </w:rPr>
        <w:t>Cash Flow Hedge—</w:t>
      </w:r>
      <w:r>
        <w:rPr>
          <w:rFonts w:ascii="Arial" w:cs="Arial" w:eastAsia="Arial" w:hAnsi="Arial"/>
          <w:sz w:val="18"/>
          <w:szCs w:val="18"/>
          <w:color w:val="auto"/>
        </w:rPr>
        <w:t>The hedge of a forecasted transaction or of the variability of cash flows to be received or paid,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asset or liability or anticipated transaction, is designated as a cash flow hedge. The change in fair value is recorded in "Accumulated other comprehensive loss" in our Consolidated Balance Sheets. When the hedged item impacts the Consolidated Statements of Operations, the gain or loss included in "Other comprehensive income (loss), net of tax" in our Consolidated Statements of Comprehensive Income (Loss) is reported on the same line of the Consolidated Statements of Operations as the hedged item, to match the gain or loss on the derivative to the gain or loss on the hedged item. Specifically, we regularly use currency cash flow hedges to manage risk associated with exchange rate volatility of various currencies and occasionally use interest rate cash flow hedges to manage interest rate risks. Settlements associated with the sale or production of product are presented in operating cash flows, and settlements associated with debt issuance are presented in financing cash flows.</w:t>
      </w:r>
    </w:p>
    <w:p>
      <w:pPr>
        <w:spacing w:after="0" w:line="68" w:lineRule="exact"/>
        <w:rPr>
          <w:sz w:val="20"/>
          <w:szCs w:val="20"/>
          <w:color w:val="auto"/>
        </w:rPr>
      </w:pPr>
    </w:p>
    <w:p>
      <w:pPr>
        <w:ind w:left="400" w:right="280" w:firstLine="402"/>
        <w:spacing w:after="0" w:line="257" w:lineRule="auto"/>
        <w:rPr>
          <w:sz w:val="20"/>
          <w:szCs w:val="20"/>
          <w:color w:val="auto"/>
        </w:rPr>
      </w:pPr>
      <w:r>
        <w:rPr>
          <w:rFonts w:ascii="Arial" w:cs="Arial" w:eastAsia="Arial" w:hAnsi="Arial"/>
          <w:sz w:val="18"/>
          <w:szCs w:val="18"/>
          <w:i w:val="1"/>
          <w:iCs w:val="1"/>
          <w:color w:val="auto"/>
        </w:rPr>
        <w:t>Fair Value Hedge and Derivatives not Designated as Hedging Instruments—</w:t>
      </w:r>
      <w:r>
        <w:rPr>
          <w:rFonts w:ascii="Arial" w:cs="Arial" w:eastAsia="Arial" w:hAnsi="Arial"/>
          <w:sz w:val="18"/>
          <w:szCs w:val="18"/>
          <w:color w:val="auto"/>
        </w:rPr>
        <w:t>These derivatives typically manage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 associated with subsidiaries’ assets and liabilities or unrecognized firm commitments. The changes in fair value of the derivative, along with the gain or loss on the hedged item that is attributable to the hedged risk, are recorded in earnings and reported in the Consolidated Statements of Operations, and in the case of fair value hedges, on the same line as the hedged item. Cash flows from settled contracts are presented in the category consistent with the nature of the item being hedged.</w:t>
      </w:r>
    </w:p>
    <w:p>
      <w:pPr>
        <w:spacing w:after="0" w:line="58"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FOREIGN CURRENCY TRANSLATION: The functional currency for most foreign operations is the local currency. The translation of foreign currencies into U.S. dollars is performed for balance sheet accounts using current exchange rates in effect at the balance sheet date and for income and expense accounts using monthly average exchange rates. The cumulative effects of translating the functional currencies into the U.S. dollar are included in comprehensive income.</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FAIR VALUE MEASUREMENTS: We utilize fair value measures for both financial and non-financial assets and liabilities.</w:t>
      </w:r>
    </w:p>
    <w:p>
      <w:pPr>
        <w:spacing w:after="0" w:line="101" w:lineRule="exact"/>
        <w:rPr>
          <w:sz w:val="20"/>
          <w:szCs w:val="20"/>
          <w:color w:val="auto"/>
        </w:rPr>
      </w:pPr>
    </w:p>
    <w:p>
      <w:pPr>
        <w:ind w:right="440" w:firstLine="402"/>
        <w:spacing w:after="0" w:line="265" w:lineRule="auto"/>
        <w:rPr>
          <w:sz w:val="20"/>
          <w:szCs w:val="20"/>
          <w:color w:val="auto"/>
        </w:rPr>
      </w:pPr>
      <w:r>
        <w:rPr>
          <w:rFonts w:ascii="Arial" w:cs="Arial" w:eastAsia="Arial" w:hAnsi="Arial"/>
          <w:sz w:val="18"/>
          <w:szCs w:val="18"/>
          <w:color w:val="auto"/>
        </w:rPr>
        <w:t>For financial assets (including pension plan investments) and liabilities measured on a recurring basis, fair value measurements are established using a three-level valuation hierarchy that prioritizes the inputs to valuation techniques used to measure fair value into the following categories:</w:t>
      </w:r>
    </w:p>
    <w:p>
      <w:pPr>
        <w:spacing w:after="0" w:line="86" w:lineRule="exact"/>
        <w:rPr>
          <w:sz w:val="20"/>
          <w:szCs w:val="20"/>
          <w:color w:val="auto"/>
        </w:rPr>
      </w:pPr>
    </w:p>
    <w:p>
      <w:pPr>
        <w:ind w:left="880" w:hanging="149"/>
        <w:spacing w:after="0"/>
        <w:tabs>
          <w:tab w:leader="none" w:pos="880" w:val="left"/>
        </w:tabs>
        <w:numPr>
          <w:ilvl w:val="0"/>
          <w:numId w:val="55"/>
        </w:numPr>
        <w:rPr>
          <w:rFonts w:ascii="Arial" w:cs="Arial" w:eastAsia="Arial" w:hAnsi="Arial"/>
          <w:sz w:val="21"/>
          <w:szCs w:val="21"/>
          <w:color w:val="auto"/>
        </w:rPr>
      </w:pPr>
      <w:r>
        <w:rPr>
          <w:rFonts w:ascii="Arial" w:cs="Arial" w:eastAsia="Arial" w:hAnsi="Arial"/>
          <w:sz w:val="18"/>
          <w:szCs w:val="18"/>
          <w:color w:val="auto"/>
        </w:rPr>
        <w:t>Level 1: Quoted prices for identical assets or liabilities in active markets.</w:t>
      </w:r>
    </w:p>
    <w:p>
      <w:pPr>
        <w:spacing w:after="0" w:line="99" w:lineRule="exact"/>
        <w:rPr>
          <w:rFonts w:ascii="Arial" w:cs="Arial" w:eastAsia="Arial" w:hAnsi="Arial"/>
          <w:sz w:val="21"/>
          <w:szCs w:val="21"/>
          <w:color w:val="auto"/>
        </w:rPr>
      </w:pPr>
    </w:p>
    <w:p>
      <w:pPr>
        <w:ind w:left="900" w:right="20" w:hanging="169"/>
        <w:spacing w:after="0" w:line="266" w:lineRule="auto"/>
        <w:tabs>
          <w:tab w:leader="none" w:pos="895" w:val="left"/>
        </w:tabs>
        <w:numPr>
          <w:ilvl w:val="0"/>
          <w:numId w:val="55"/>
        </w:numPr>
        <w:rPr>
          <w:rFonts w:ascii="Arial" w:cs="Arial" w:eastAsia="Arial" w:hAnsi="Arial"/>
          <w:sz w:val="20"/>
          <w:szCs w:val="20"/>
          <w:color w:val="auto"/>
        </w:rPr>
      </w:pPr>
      <w:r>
        <w:rPr>
          <w:rFonts w:ascii="Arial" w:cs="Arial" w:eastAsia="Arial" w:hAnsi="Arial"/>
          <w:sz w:val="17"/>
          <w:szCs w:val="17"/>
          <w:color w:val="auto"/>
        </w:rPr>
        <w:t>Level 2: Inputs, other than quoted prices included in Level 1, that are observable for the asset or liability either directly or indirectly. Short-term investments in this category are valued using discounted cash flow techniques with all significant inputs derived from or supported by observable market data. Derivative assets and liabilities in this category are valued using models that consider various assumptions and information from market-corroborated sources. The models used are primarily industry-standard models that consider items such as quoted prices, market interest rate curves applicable to the instruments being valued as of the end of each period, discounted cash flows, volatility factors, current market, and contractual prices for the underlying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72" w:lineRule="exact"/>
        <w:rPr>
          <w:rFonts w:ascii="Arial" w:cs="Arial" w:eastAsia="Arial" w:hAnsi="Arial"/>
          <w:sz w:val="20"/>
          <w:szCs w:val="20"/>
          <w:color w:val="auto"/>
        </w:rPr>
      </w:pPr>
    </w:p>
    <w:p>
      <w:pPr>
        <w:ind w:left="880" w:hanging="149"/>
        <w:spacing w:after="0"/>
        <w:tabs>
          <w:tab w:leader="none" w:pos="880" w:val="left"/>
        </w:tabs>
        <w:numPr>
          <w:ilvl w:val="0"/>
          <w:numId w:val="55"/>
        </w:numPr>
        <w:rPr>
          <w:rFonts w:ascii="Arial" w:cs="Arial" w:eastAsia="Arial" w:hAnsi="Arial"/>
          <w:sz w:val="21"/>
          <w:szCs w:val="21"/>
          <w:color w:val="auto"/>
        </w:rPr>
      </w:pPr>
      <w:r>
        <w:rPr>
          <w:rFonts w:ascii="Arial" w:cs="Arial" w:eastAsia="Arial" w:hAnsi="Arial"/>
          <w:sz w:val="18"/>
          <w:szCs w:val="18"/>
          <w:color w:val="auto"/>
        </w:rPr>
        <w:t>Level 3: Unobservable inputs that are not corroborated by market data.</w:t>
      </w:r>
    </w:p>
    <w:p>
      <w:pPr>
        <w:spacing w:after="0" w:line="73" w:lineRule="exact"/>
        <w:rPr>
          <w:sz w:val="20"/>
          <w:szCs w:val="20"/>
          <w:color w:val="auto"/>
        </w:rPr>
      </w:pPr>
    </w:p>
    <w:p>
      <w:pPr>
        <w:ind w:right="60" w:firstLine="402"/>
        <w:spacing w:after="0" w:line="282" w:lineRule="auto"/>
        <w:rPr>
          <w:sz w:val="20"/>
          <w:szCs w:val="20"/>
          <w:color w:val="auto"/>
        </w:rPr>
      </w:pPr>
      <w:r>
        <w:rPr>
          <w:rFonts w:ascii="Arial" w:cs="Arial" w:eastAsia="Arial" w:hAnsi="Arial"/>
          <w:sz w:val="18"/>
          <w:szCs w:val="18"/>
          <w:color w:val="auto"/>
        </w:rPr>
        <w:t>Non-financial assets and liabilities measured on a non-recurring basis are primarily purchase price allocations for assets and liabilities of acquired companies and evaluations of goodwill and long-lived assets for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potential impairment. Determining fair values for these items requires significant judgment and includes a variety of methods and models that utilize significant Level 3 inputs. See "GOODWILL" above for additional information. We did not complete any acquisitions during the periods presented.</w:t>
      </w:r>
    </w:p>
    <w:p>
      <w:pPr>
        <w:spacing w:after="0" w:line="52" w:lineRule="exact"/>
        <w:rPr>
          <w:sz w:val="20"/>
          <w:szCs w:val="20"/>
          <w:color w:val="auto"/>
        </w:rPr>
      </w:pPr>
    </w:p>
    <w:p>
      <w:pPr>
        <w:jc w:val="both"/>
        <w:ind w:right="40" w:firstLine="402"/>
        <w:spacing w:after="0" w:line="282" w:lineRule="auto"/>
        <w:rPr>
          <w:sz w:val="20"/>
          <w:szCs w:val="20"/>
          <w:color w:val="auto"/>
        </w:rPr>
      </w:pPr>
      <w:r>
        <w:rPr>
          <w:rFonts w:ascii="Arial" w:cs="Arial" w:eastAsia="Arial" w:hAnsi="Arial"/>
          <w:sz w:val="18"/>
          <w:szCs w:val="18"/>
          <w:color w:val="auto"/>
        </w:rPr>
        <w:t>RECLASSIFICATIONS: Certain immaterial reclassifications have been made to the prior years’ information in the Consolidated Financial Statements and related notes to conform to the 2025 presentation.</w:t>
      </w:r>
    </w:p>
    <w:p>
      <w:pPr>
        <w:spacing w:after="0" w:line="23" w:lineRule="exact"/>
        <w:rPr>
          <w:sz w:val="20"/>
          <w:szCs w:val="20"/>
          <w:color w:val="auto"/>
        </w:rPr>
      </w:pPr>
    </w:p>
    <w:p>
      <w:pPr>
        <w:jc w:val="both"/>
        <w:ind w:right="40" w:firstLine="402"/>
        <w:spacing w:after="0" w:line="265" w:lineRule="auto"/>
        <w:rPr>
          <w:sz w:val="20"/>
          <w:szCs w:val="20"/>
          <w:color w:val="auto"/>
        </w:rPr>
      </w:pPr>
      <w:r>
        <w:rPr>
          <w:rFonts w:ascii="Arial" w:cs="Arial" w:eastAsia="Arial" w:hAnsi="Arial"/>
          <w:sz w:val="18"/>
          <w:szCs w:val="18"/>
          <w:color w:val="auto"/>
        </w:rPr>
        <w:t>NEW ACCOUNTING GUIDANCE: The Financial Accounting Standards Board (FASB) regularly issues updates to the FASB Accounting Standards Codification that are communicated through issuance of an Accounting Standards Update (ASU). Below is a summary of the ASUs that are most relevant to our financial statements: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Adopted in the current year</w:t>
      </w:r>
    </w:p>
    <w:p>
      <w:pPr>
        <w:spacing w:after="0" w:line="99" w:lineRule="exact"/>
        <w:rPr>
          <w:sz w:val="20"/>
          <w:szCs w:val="20"/>
          <w:color w:val="auto"/>
        </w:rPr>
      </w:pPr>
    </w:p>
    <w:p>
      <w:pPr>
        <w:ind w:left="900" w:hanging="169"/>
        <w:spacing w:after="0" w:line="275" w:lineRule="auto"/>
        <w:tabs>
          <w:tab w:leader="none" w:pos="8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ASU 2023-09 “Income Taxes (Topic 740): Improvements to Income Tax Disclosures”: This ASU requires disclosure of specific categories within the rate reconciliation, as well as the disaggregation of income taxes paid, net of refunds received, by jurisdiction. We adopted the new standard effective for the year ended December 31, 2025, and have applied the new disclosure requirements on a prospective basis to the current reporting period only. As a result, we have enhanced our income tax disclosures presented in </w:t>
      </w:r>
      <w:r>
        <w:rPr>
          <w:rFonts w:ascii="Arial" w:cs="Arial" w:eastAsia="Arial" w:hAnsi="Arial"/>
          <w:sz w:val="17"/>
          <w:szCs w:val="17"/>
          <w:u w:val="single" w:color="auto"/>
          <w:color w:val="0000FF"/>
        </w:rPr>
        <w:t>Note O</w:t>
      </w:r>
      <w:r>
        <w:rPr>
          <w:rFonts w:ascii="Arial" w:cs="Arial" w:eastAsia="Arial" w:hAnsi="Arial"/>
          <w:sz w:val="17"/>
          <w:szCs w:val="17"/>
          <w:color w:val="000000"/>
        </w:rPr>
        <w:t>. The adoption of this ASU affects disclosures only and has no effect on our financial condition and results of operations.</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To be adopted in future years</w:t>
      </w:r>
    </w:p>
    <w:p>
      <w:pPr>
        <w:spacing w:after="0" w:line="99" w:lineRule="exact"/>
        <w:rPr>
          <w:sz w:val="20"/>
          <w:szCs w:val="20"/>
          <w:color w:val="auto"/>
        </w:rPr>
      </w:pPr>
    </w:p>
    <w:p>
      <w:pPr>
        <w:ind w:left="900" w:right="120" w:hanging="169"/>
        <w:spacing w:after="0" w:line="257" w:lineRule="auto"/>
        <w:tabs>
          <w:tab w:leader="none" w:pos="895" w:val="left"/>
        </w:tabs>
        <w:numPr>
          <w:ilvl w:val="0"/>
          <w:numId w:val="57"/>
        </w:numPr>
        <w:rPr>
          <w:rFonts w:ascii="Arial" w:cs="Arial" w:eastAsia="Arial" w:hAnsi="Arial"/>
          <w:sz w:val="18"/>
          <w:szCs w:val="18"/>
          <w:i w:val="1"/>
          <w:iCs w:val="1"/>
          <w:color w:val="auto"/>
        </w:rPr>
      </w:pPr>
      <w:r>
        <w:rPr>
          <w:rFonts w:ascii="Arial" w:cs="Arial" w:eastAsia="Arial" w:hAnsi="Arial"/>
          <w:sz w:val="18"/>
          <w:szCs w:val="18"/>
          <w:color w:val="auto"/>
        </w:rPr>
        <w:t>ASU 2024-03 "Income Statement (Subtopic 220-40)—Reporting Comprehensive Income—Expense Disaggregation Disclosures": This ASU requires disaggregated disclosures for specific categories such as inventory purchases, employee compensation, depreciation, and amortization, as well as other qualitative descriptions. This guidance will be effective for our annual periods beginning January 1, 2027, and interim periods beginning January 1, 2028. Early adoption is permitted and may be applied prospectively or retrospectively. We are currently evaluating the impact of adopting this guidance.</w:t>
      </w:r>
    </w:p>
    <w:p>
      <w:pPr>
        <w:spacing w:after="0" w:line="58" w:lineRule="exact"/>
        <w:rPr>
          <w:rFonts w:ascii="Arial" w:cs="Arial" w:eastAsia="Arial" w:hAnsi="Arial"/>
          <w:sz w:val="18"/>
          <w:szCs w:val="18"/>
          <w:i w:val="1"/>
          <w:iCs w:val="1"/>
          <w:color w:val="auto"/>
        </w:rPr>
      </w:pPr>
    </w:p>
    <w:p>
      <w:pPr>
        <w:ind w:left="880" w:hanging="149"/>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ASU 2025-06 "Intangibles—Goodwill and Other—Internal-Use Software (Subtopic 350-40): Targeted Improvements to the</w:t>
      </w:r>
    </w:p>
    <w:p>
      <w:pPr>
        <w:spacing w:after="0" w:line="25" w:lineRule="exact"/>
        <w:rPr>
          <w:rFonts w:ascii="Arial" w:cs="Arial" w:eastAsia="Arial" w:hAnsi="Arial"/>
          <w:sz w:val="18"/>
          <w:szCs w:val="18"/>
          <w:color w:val="auto"/>
        </w:rPr>
      </w:pPr>
    </w:p>
    <w:p>
      <w:pPr>
        <w:ind w:left="900" w:right="60"/>
        <w:spacing w:after="0" w:line="270" w:lineRule="auto"/>
        <w:rPr>
          <w:rFonts w:ascii="Arial" w:cs="Arial" w:eastAsia="Arial" w:hAnsi="Arial"/>
          <w:sz w:val="18"/>
          <w:szCs w:val="18"/>
          <w:color w:val="auto"/>
        </w:rPr>
      </w:pPr>
      <w:r>
        <w:rPr>
          <w:rFonts w:ascii="Arial" w:cs="Arial" w:eastAsia="Arial" w:hAnsi="Arial"/>
          <w:sz w:val="17"/>
          <w:szCs w:val="17"/>
          <w:color w:val="auto"/>
        </w:rPr>
        <w:t>Accounting for Internal-Use Software": This ASU removes the prescriptive and sequential software development stages (referred to as "project stages") and requires capitalization to begin when management has authorized and committed to funding the project and it is probable that the project will be both completed and used to perform its intended function. This guidance will be effective January 1, 2028 (for both annual and interim reporting periods). Early adoption is permitted and may be applied prospectively, retrospectively, or using a modified transition approach. We are currently evaluating the impact of adopting this guidance.</w:t>
      </w:r>
    </w:p>
    <w:p>
      <w:pPr>
        <w:spacing w:after="0" w:line="35" w:lineRule="exact"/>
        <w:rPr>
          <w:rFonts w:ascii="Arial" w:cs="Arial" w:eastAsia="Arial" w:hAnsi="Arial"/>
          <w:sz w:val="18"/>
          <w:szCs w:val="18"/>
          <w:color w:val="auto"/>
        </w:rPr>
      </w:pPr>
    </w:p>
    <w:p>
      <w:pPr>
        <w:ind w:left="900" w:right="220" w:hanging="169"/>
        <w:spacing w:after="0" w:line="288" w:lineRule="auto"/>
        <w:tabs>
          <w:tab w:leader="none" w:pos="8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ASU 2025-09 “Derivatives and Hedging (Topic 815): Hedge Accounting Improvements”: This ASU clarifies certain aspects of the guidance on hedge accounting. This guidance will be effective January 1, 2028 (for both annual and interim reporting periods). Early adoption is permitted and must be applied prospectively. We are currently evaluating the impact of adopting this guidance.</w:t>
      </w:r>
    </w:p>
    <w:p>
      <w:pPr>
        <w:spacing w:after="0" w:line="34"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The FASB has issued accounting guidance, in addition to the issuance discussed above, effective for current and future periods. This guidance did not have a material impact on our current financial statements, and we do not believe it will have a material impact on our future financial statements.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B—Revenue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u w:val="single" w:color="auto"/>
          <w:color w:val="auto"/>
        </w:rPr>
        <w:t>Revenue by Product Family</w:t>
      </w:r>
    </w:p>
    <w:p>
      <w:pPr>
        <w:spacing w:after="0" w:line="99" w:lineRule="exact"/>
        <w:rPr>
          <w:sz w:val="20"/>
          <w:szCs w:val="20"/>
          <w:color w:val="auto"/>
        </w:rPr>
      </w:pPr>
    </w:p>
    <w:p>
      <w:pPr>
        <w:ind w:right="100" w:firstLine="402"/>
        <w:spacing w:after="0" w:line="265" w:lineRule="auto"/>
        <w:rPr>
          <w:sz w:val="20"/>
          <w:szCs w:val="20"/>
          <w:color w:val="auto"/>
        </w:rPr>
      </w:pPr>
      <w:r>
        <w:rPr>
          <w:rFonts w:ascii="Arial" w:cs="Arial" w:eastAsia="Arial" w:hAnsi="Arial"/>
          <w:sz w:val="18"/>
          <w:szCs w:val="18"/>
          <w:color w:val="auto"/>
        </w:rPr>
        <w:t xml:space="preserve">We disaggregate revenue by customer group, which is the same as our product families for each of our segments, as we believe this best depicts how the nature, amount, timing, and uncertainty of our revenue and cash flows are affected by economic factors. For information regarding our segment structure, see </w:t>
      </w:r>
      <w:r>
        <w:rPr>
          <w:rFonts w:ascii="Arial" w:cs="Arial" w:eastAsia="Arial" w:hAnsi="Arial"/>
          <w:sz w:val="18"/>
          <w:szCs w:val="18"/>
          <w:u w:val="single" w:color="auto"/>
          <w:color w:val="0000FF"/>
        </w:rPr>
        <w:t>Note C</w:t>
      </w:r>
      <w:r>
        <w:rPr>
          <w:rFonts w:ascii="Arial" w:cs="Arial" w:eastAsia="Arial" w:hAnsi="Arial"/>
          <w:sz w:val="18"/>
          <w:szCs w:val="18"/>
          <w:color w:val="auto"/>
        </w:rPr>
        <w:t>.</w:t>
      </w:r>
    </w:p>
    <w:p>
      <w:pPr>
        <w:spacing w:after="0" w:line="88"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Bedding Products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8"/>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Bedding Group</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1,558.</w:t>
            </w:r>
            <w:r>
              <w:rPr>
                <w:rFonts w:ascii="Arial" w:cs="Arial" w:eastAsia="Arial" w:hAnsi="Arial"/>
                <w:sz w:val="18"/>
                <w:szCs w:val="18"/>
                <w:b w:val="1"/>
                <w:bCs w:val="1"/>
                <w:u w:val="single" w:color="auto"/>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r>
              <w:rPr>
                <w:rFonts w:ascii="Arial" w:cs="Arial" w:eastAsia="Arial" w:hAnsi="Arial"/>
                <w:sz w:val="18"/>
                <w:szCs w:val="18"/>
                <w:u w:val="single" w:color="auto"/>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1,964.7</w:t>
            </w:r>
          </w:p>
        </w:tc>
      </w:tr>
      <w:tr>
        <w:trPr>
          <w:trHeight w:val="221"/>
        </w:trPr>
        <w:tc>
          <w:tcPr>
            <w:tcW w:w="4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r>
      <w:tr>
        <w:trPr>
          <w:trHeight w:val="228"/>
        </w:trPr>
        <w:tc>
          <w:tcPr>
            <w:tcW w:w="4740" w:type="dxa"/>
            <w:vAlign w:val="bottom"/>
          </w:tcPr>
          <w:p>
            <w:pPr>
              <w:ind w:left="20"/>
              <w:spacing w:after="0"/>
              <w:rPr>
                <w:sz w:val="20"/>
                <w:szCs w:val="20"/>
                <w:color w:val="auto"/>
              </w:rPr>
            </w:pPr>
            <w:r>
              <w:rPr>
                <w:rFonts w:ascii="Arial" w:cs="Arial" w:eastAsia="Arial" w:hAnsi="Arial"/>
                <w:sz w:val="18"/>
                <w:szCs w:val="18"/>
                <w:color w:val="auto"/>
              </w:rPr>
              <w:t>Specialized Products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Automotive Group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w:t>
            </w:r>
          </w:p>
        </w:tc>
      </w:tr>
      <w:tr>
        <w:trPr>
          <w:trHeight w:val="228"/>
        </w:trPr>
        <w:tc>
          <w:tcPr>
            <w:tcW w:w="474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Aerospace Products Group </w:t>
            </w:r>
            <w:r>
              <w:rPr>
                <w:rFonts w:ascii="Arial" w:cs="Arial" w:eastAsia="Arial" w:hAnsi="Arial"/>
                <w:sz w:val="26"/>
                <w:szCs w:val="26"/>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Hydraulic Cylinders Group</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r>
      <w:tr>
        <w:trPr>
          <w:trHeight w:val="221"/>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1,122.4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1,279.8</w:t>
            </w:r>
          </w:p>
        </w:tc>
      </w:tr>
      <w:tr>
        <w:trPr>
          <w:trHeight w:val="22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Flooring &amp; Textile Products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4740" w:type="dxa"/>
            <w:vAlign w:val="bottom"/>
          </w:tcPr>
          <w:p>
            <w:pPr>
              <w:ind w:left="340"/>
              <w:spacing w:after="0"/>
              <w:rPr>
                <w:sz w:val="20"/>
                <w:szCs w:val="20"/>
                <w:color w:val="auto"/>
              </w:rPr>
            </w:pPr>
            <w:r>
              <w:rPr>
                <w:rFonts w:ascii="Arial" w:cs="Arial" w:eastAsia="Arial" w:hAnsi="Arial"/>
                <w:sz w:val="18"/>
                <w:szCs w:val="18"/>
                <w:color w:val="auto"/>
              </w:rPr>
              <w:t>Home Furniture Group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300.5</w:t>
            </w:r>
          </w:p>
        </w:tc>
      </w:tr>
      <w:tr>
        <w:trPr>
          <w:trHeight w:val="228"/>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 Furniture Group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228"/>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Flooring &amp; Textile Products Group</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w:t>
            </w:r>
          </w:p>
        </w:tc>
      </w:tr>
      <w:tr>
        <w:trPr>
          <w:trHeight w:val="221"/>
        </w:trPr>
        <w:tc>
          <w:tcPr>
            <w:tcW w:w="4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w:t>
            </w:r>
          </w:p>
        </w:tc>
      </w:tr>
      <w:tr>
        <w:trPr>
          <w:trHeight w:val="221"/>
        </w:trPr>
        <w:tc>
          <w:tcPr>
            <w:tcW w:w="47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4,055.</w:t>
            </w:r>
            <w:r>
              <w:rPr>
                <w:rFonts w:ascii="Arial" w:cs="Arial" w:eastAsia="Arial" w:hAnsi="Arial"/>
                <w:sz w:val="18"/>
                <w:szCs w:val="18"/>
                <w:b w:val="1"/>
                <w:bCs w:val="1"/>
                <w:u w:val="single" w:color="auto"/>
                <w:color w:val="auto"/>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r>
              <w:rPr>
                <w:rFonts w:ascii="Arial" w:cs="Arial" w:eastAsia="Arial" w:hAnsi="Arial"/>
                <w:sz w:val="18"/>
                <w:szCs w:val="18"/>
                <w:u w:val="single" w:color="auto"/>
                <w:color w:val="auto"/>
              </w:rPr>
              <w:t>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4,725.3</w:t>
            </w: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600" w:hanging="225"/>
        <w:spacing w:after="0"/>
        <w:tabs>
          <w:tab w:leader="none" w:pos="1600" w:val="left"/>
        </w:tabs>
        <w:numPr>
          <w:ilvl w:val="0"/>
          <w:numId w:val="58"/>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In August 2025, we divested our Aerospace Products Group (see </w:t>
      </w:r>
      <w:r>
        <w:rPr>
          <w:rFonts w:ascii="Arial" w:cs="Arial" w:eastAsia="Arial" w:hAnsi="Arial"/>
          <w:sz w:val="18"/>
          <w:szCs w:val="18"/>
          <w:u w:val="single" w:color="auto"/>
          <w:color w:val="0000FF"/>
        </w:rPr>
        <w:t>Note 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C—Segment Information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three operating segments that supply a wide range of products:</w:t>
      </w:r>
    </w:p>
    <w:p>
      <w:pPr>
        <w:spacing w:after="0" w:line="101" w:lineRule="exact"/>
        <w:rPr>
          <w:sz w:val="20"/>
          <w:szCs w:val="20"/>
          <w:color w:val="auto"/>
        </w:rPr>
      </w:pPr>
    </w:p>
    <w:p>
      <w:pPr>
        <w:ind w:left="660" w:right="100" w:hanging="170"/>
        <w:spacing w:after="0" w:line="279" w:lineRule="auto"/>
        <w:tabs>
          <w:tab w:leader="none" w:pos="655" w:val="left"/>
        </w:tabs>
        <w:numPr>
          <w:ilvl w:val="0"/>
          <w:numId w:val="5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Bedding Products: </w:t>
      </w:r>
      <w:r>
        <w:rPr>
          <w:rFonts w:ascii="Arial" w:cs="Arial" w:eastAsia="Arial" w:hAnsi="Arial"/>
          <w:sz w:val="17"/>
          <w:szCs w:val="17"/>
          <w:color w:val="auto"/>
        </w:rPr>
        <w:t>This segment supplies a variety of components used by bedding manufacturers in the production and assembly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their finished products, as well as produces private label finished mattresses and adjustable bed bases. This segment is also vertically integrated into the production and supply of specialty foam chemicals, steel rod, and drawn steel wire to our own operations and to external customers. We also supply steel rod and wire to trade customers that operate in a broad range of markets.</w:t>
      </w:r>
    </w:p>
    <w:p>
      <w:pPr>
        <w:spacing w:after="0" w:line="29" w:lineRule="exact"/>
        <w:rPr>
          <w:rFonts w:ascii="Arial" w:cs="Arial" w:eastAsia="Arial" w:hAnsi="Arial"/>
          <w:sz w:val="17"/>
          <w:szCs w:val="17"/>
          <w:i w:val="1"/>
          <w:iCs w:val="1"/>
          <w:color w:val="auto"/>
        </w:rPr>
      </w:pPr>
    </w:p>
    <w:p>
      <w:pPr>
        <w:ind w:left="660" w:hanging="170"/>
        <w:spacing w:after="0" w:line="288" w:lineRule="auto"/>
        <w:tabs>
          <w:tab w:leader="none" w:pos="655" w:val="left"/>
        </w:tabs>
        <w:numPr>
          <w:ilvl w:val="0"/>
          <w:numId w:val="5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Specialized Products: </w:t>
      </w:r>
      <w:r>
        <w:rPr>
          <w:rFonts w:ascii="Arial" w:cs="Arial" w:eastAsia="Arial" w:hAnsi="Arial"/>
          <w:sz w:val="17"/>
          <w:szCs w:val="17"/>
          <w:color w:val="auto"/>
        </w:rPr>
        <w:t>From this segment, we supply lumbar support systems, seat suspension systems, motors and actuators,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cables used by automotive manufacturers. We also produce and distribute engineered hydraulic cylinders used in the material-handling and heavy construction industries. On August 29, 2025, we divested our Aerospace Products Group, as discussed in </w:t>
      </w:r>
      <w:r>
        <w:rPr>
          <w:rFonts w:ascii="Arial" w:cs="Arial" w:eastAsia="Arial" w:hAnsi="Arial"/>
          <w:sz w:val="17"/>
          <w:szCs w:val="17"/>
          <w:u w:val="single" w:color="auto"/>
          <w:color w:val="0000FF"/>
        </w:rPr>
        <w:t>Note S</w:t>
      </w:r>
      <w:r>
        <w:rPr>
          <w:rFonts w:ascii="Arial" w:cs="Arial" w:eastAsia="Arial" w:hAnsi="Arial"/>
          <w:sz w:val="17"/>
          <w:szCs w:val="17"/>
          <w:color w:val="auto"/>
        </w:rPr>
        <w:t>.</w:t>
      </w:r>
    </w:p>
    <w:p>
      <w:pPr>
        <w:spacing w:after="0" w:line="33" w:lineRule="exact"/>
        <w:rPr>
          <w:rFonts w:ascii="Arial" w:cs="Arial" w:eastAsia="Arial" w:hAnsi="Arial"/>
          <w:sz w:val="17"/>
          <w:szCs w:val="17"/>
          <w:i w:val="1"/>
          <w:iCs w:val="1"/>
          <w:color w:val="auto"/>
        </w:rPr>
      </w:pPr>
    </w:p>
    <w:p>
      <w:pPr>
        <w:ind w:left="660" w:right="260" w:hanging="170"/>
        <w:spacing w:after="0" w:line="265" w:lineRule="auto"/>
        <w:tabs>
          <w:tab w:leader="none" w:pos="655" w:val="left"/>
        </w:tabs>
        <w:numPr>
          <w:ilvl w:val="0"/>
          <w:numId w:val="5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Furniture, Flooring &amp; Textile Products: </w:t>
      </w:r>
      <w:r>
        <w:rPr>
          <w:rFonts w:ascii="Arial" w:cs="Arial" w:eastAsia="Arial" w:hAnsi="Arial"/>
          <w:sz w:val="18"/>
          <w:szCs w:val="18"/>
          <w:color w:val="auto"/>
        </w:rPr>
        <w:t>Operations in this segment supply a wide range of components for residential and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furniture manufacturers, as well as select lines of private label finished furniture. We also produce or distribute carpet cushion, hard surface flooring underlayment, and textile and geo components.</w:t>
      </w:r>
    </w:p>
    <w:p>
      <w:pPr>
        <w:spacing w:after="0" w:line="52" w:lineRule="exact"/>
        <w:rPr>
          <w:sz w:val="20"/>
          <w:szCs w:val="20"/>
          <w:color w:val="auto"/>
        </w:rPr>
      </w:pPr>
    </w:p>
    <w:p>
      <w:pPr>
        <w:jc w:val="both"/>
        <w:ind w:right="380" w:firstLine="402"/>
        <w:spacing w:after="0" w:line="265" w:lineRule="auto"/>
        <w:rPr>
          <w:sz w:val="20"/>
          <w:szCs w:val="20"/>
          <w:color w:val="auto"/>
        </w:rPr>
      </w:pPr>
      <w:r>
        <w:rPr>
          <w:rFonts w:ascii="Arial" w:cs="Arial" w:eastAsia="Arial" w:hAnsi="Arial"/>
          <w:sz w:val="18"/>
          <w:szCs w:val="18"/>
          <w:color w:val="auto"/>
        </w:rPr>
        <w:t>Our reportable segments are the same as our operating segments, which correspond with our management organizational structure. Each of our segments has an executive vice president who has accountability to, and maintains regular contact with, our CEO, who is the chief operating decision maker (CODM).</w:t>
      </w:r>
    </w:p>
    <w:p>
      <w:pPr>
        <w:spacing w:after="0" w:line="38" w:lineRule="exact"/>
        <w:rPr>
          <w:sz w:val="20"/>
          <w:szCs w:val="20"/>
          <w:color w:val="auto"/>
        </w:rPr>
      </w:pPr>
    </w:p>
    <w:p>
      <w:pPr>
        <w:ind w:right="140" w:firstLine="402"/>
        <w:spacing w:after="0" w:line="259" w:lineRule="auto"/>
        <w:rPr>
          <w:sz w:val="20"/>
          <w:szCs w:val="20"/>
          <w:color w:val="auto"/>
        </w:rPr>
      </w:pPr>
      <w:r>
        <w:rPr>
          <w:rFonts w:ascii="Arial" w:cs="Arial" w:eastAsia="Arial" w:hAnsi="Arial"/>
          <w:sz w:val="18"/>
          <w:szCs w:val="18"/>
          <w:color w:val="auto"/>
        </w:rPr>
        <w:t>The accounting policies used in the preparation of the segment information are the same as those used for the consolidated financial statements. Earnings Before Interest and Taxes (EBIT) is used by the CODM to evaluate segment performance, allocate overall resources, and determine management incentive compensation. Intersegment sales are made primarily at prices that approximate market-based selling prices.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Centrally incurred costs are allocated to the segments based on estimates of services used by the segment. Certain of our general and administrative costs and miscellaneous corporate income and expenses are allocated to the segments based on sales or other appropriate metrics. These allocated corporate costs include depreciation and other costs and income related to assets that are not allocated or otherwise included in the segment assets.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segment results for the periods presented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38"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5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 Ended December 31, 2025</w:t>
            </w:r>
          </w:p>
        </w:tc>
        <w:tc>
          <w:tcPr>
            <w:tcW w:w="180" w:type="dxa"/>
            <w:vAlign w:val="bottom"/>
          </w:tcPr>
          <w:p>
            <w:pPr>
              <w:spacing w:after="0"/>
              <w:rPr>
                <w:sz w:val="13"/>
                <w:szCs w:val="13"/>
                <w:color w:val="auto"/>
              </w:rPr>
            </w:pPr>
          </w:p>
        </w:tc>
        <w:tc>
          <w:tcPr>
            <w:tcW w:w="102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Bedding</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Specialized</w:t>
            </w:r>
          </w:p>
        </w:tc>
        <w:tc>
          <w:tcPr>
            <w:tcW w:w="16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3"/>
                <w:szCs w:val="13"/>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tcBorders>
              <w:top w:val="single" w:sz="8" w:color="auto"/>
            </w:tcBorders>
            <w:gridSpan w:val="5"/>
            <w:shd w:val="clear" w:color="auto" w:fill="CCEEFF"/>
          </w:tcPr>
          <w:p>
            <w:pPr>
              <w:ind w:left="140"/>
              <w:spacing w:after="0" w:line="221" w:lineRule="exact"/>
              <w:rPr>
                <w:sz w:val="20"/>
                <w:szCs w:val="20"/>
                <w:color w:val="auto"/>
              </w:rPr>
            </w:pPr>
            <w:r>
              <w:rPr>
                <w:rFonts w:ascii="Arial" w:cs="Arial" w:eastAsia="Arial" w:hAnsi="Arial"/>
                <w:sz w:val="17"/>
                <w:szCs w:val="17"/>
                <w:color w:val="auto"/>
              </w:rPr>
              <w:t xml:space="preserve">Trade sales </w:t>
            </w:r>
            <w:r>
              <w:rPr>
                <w:rFonts w:ascii="Arial" w:cs="Arial" w:eastAsia="Arial" w:hAnsi="Arial"/>
                <w:sz w:val="25"/>
                <w:szCs w:val="25"/>
                <w:b w:val="1"/>
                <w:bCs w:val="1"/>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4,055.1</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6"/>
          </w:tcPr>
          <w:p>
            <w:pPr>
              <w:ind w:left="140"/>
              <w:spacing w:after="0"/>
              <w:rPr>
                <w:sz w:val="20"/>
                <w:szCs w:val="20"/>
                <w:color w:val="auto"/>
              </w:rPr>
            </w:pPr>
            <w:r>
              <w:rPr>
                <w:rFonts w:ascii="Arial" w:cs="Arial" w:eastAsia="Arial" w:hAnsi="Arial"/>
                <w:sz w:val="18"/>
                <w:szCs w:val="18"/>
                <w:color w:val="auto"/>
              </w:rPr>
              <w:t>Inter-segment sales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0" w:type="dxa"/>
            <w:vAlign w:val="bottom"/>
          </w:tcPr>
          <w:p>
            <w:pPr>
              <w:spacing w:after="0"/>
              <w:rPr>
                <w:sz w:val="1"/>
                <w:szCs w:val="1"/>
                <w:color w:val="auto"/>
              </w:rPr>
            </w:pPr>
          </w:p>
        </w:tc>
      </w:tr>
      <w:tr>
        <w:trPr>
          <w:trHeight w:val="221"/>
        </w:trPr>
        <w:tc>
          <w:tcPr>
            <w:tcW w:w="650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Total segment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4,085.2</w:t>
            </w:r>
          </w:p>
        </w:tc>
        <w:tc>
          <w:tcPr>
            <w:tcW w:w="0" w:type="dxa"/>
            <w:vAlign w:val="bottom"/>
          </w:tcPr>
          <w:p>
            <w:pPr>
              <w:spacing w:after="0"/>
              <w:rPr>
                <w:sz w:val="1"/>
                <w:szCs w:val="1"/>
                <w:color w:val="auto"/>
              </w:rPr>
            </w:pPr>
          </w:p>
        </w:tc>
      </w:tr>
      <w:tr>
        <w:trPr>
          <w:trHeight w:val="228"/>
        </w:trPr>
        <w:tc>
          <w:tcPr>
            <w:tcW w:w="6500" w:type="dxa"/>
            <w:vAlign w:val="bottom"/>
            <w:gridSpan w:val="6"/>
          </w:tcPr>
          <w:p>
            <w:pPr>
              <w:ind w:left="14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6"/>
          </w:tcPr>
          <w:p>
            <w:pPr>
              <w:ind w:left="460"/>
              <w:spacing w:after="0" w:line="227" w:lineRule="exact"/>
              <w:rPr>
                <w:sz w:val="20"/>
                <w:szCs w:val="20"/>
                <w:color w:val="auto"/>
              </w:rPr>
            </w:pPr>
            <w:r>
              <w:rPr>
                <w:rFonts w:ascii="Arial" w:cs="Arial" w:eastAsia="Arial" w:hAnsi="Arial"/>
                <w:sz w:val="17"/>
                <w:szCs w:val="17"/>
                <w:color w:val="auto"/>
              </w:rPr>
              <w:t xml:space="preserve">Nonoperating assets depreciation and amortization </w:t>
            </w:r>
            <w:r>
              <w:rPr>
                <w:rFonts w:ascii="Arial" w:cs="Arial" w:eastAsia="Arial" w:hAnsi="Arial"/>
                <w:sz w:val="26"/>
                <w:szCs w:val="26"/>
                <w:b w:val="1"/>
                <w:bCs w:val="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21"/>
        </w:trPr>
        <w:tc>
          <w:tcPr>
            <w:tcW w:w="650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w:t>
            </w:r>
          </w:p>
        </w:tc>
        <w:tc>
          <w:tcPr>
            <w:tcW w:w="0" w:type="dxa"/>
            <w:vAlign w:val="bottom"/>
          </w:tcPr>
          <w:p>
            <w:pPr>
              <w:spacing w:after="0"/>
              <w:rPr>
                <w:sz w:val="1"/>
                <w:szCs w:val="1"/>
                <w:color w:val="auto"/>
              </w:rPr>
            </w:pPr>
          </w:p>
        </w:tc>
      </w:tr>
      <w:tr>
        <w:trPr>
          <w:trHeight w:val="188"/>
        </w:trPr>
        <w:tc>
          <w:tcPr>
            <w:tcW w:w="6500" w:type="dxa"/>
            <w:vAlign w:val="bottom"/>
            <w:gridSpan w:val="6"/>
          </w:tcPr>
          <w:p>
            <w:pPr>
              <w:ind w:left="240"/>
              <w:spacing w:after="0" w:line="188" w:lineRule="exact"/>
              <w:rPr>
                <w:sz w:val="20"/>
                <w:szCs w:val="20"/>
                <w:color w:val="auto"/>
              </w:rPr>
            </w:pPr>
            <w:r>
              <w:rPr>
                <w:rFonts w:ascii="Arial" w:cs="Arial" w:eastAsia="Arial" w:hAnsi="Arial"/>
                <w:sz w:val="18"/>
                <w:szCs w:val="18"/>
                <w:color w:val="auto"/>
              </w:rPr>
              <w:t xml:space="preserve">Gain on sale of Aerospace Products Group (See </w:t>
            </w:r>
            <w:r>
              <w:rPr>
                <w:rFonts w:ascii="Arial" w:cs="Arial" w:eastAsia="Arial" w:hAnsi="Arial"/>
                <w:sz w:val="18"/>
                <w:szCs w:val="18"/>
                <w:color w:val="3051F2"/>
              </w:rPr>
              <w:t>Note S</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88"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(90.9)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line="188"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(90.9)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6"/>
            <w:shd w:val="clear" w:color="auto" w:fill="CCEEFF"/>
          </w:tcPr>
          <w:p>
            <w:pPr>
              <w:ind w:left="240"/>
              <w:spacing w:after="0" w:line="188" w:lineRule="exact"/>
              <w:rPr>
                <w:sz w:val="20"/>
                <w:szCs w:val="20"/>
                <w:color w:val="auto"/>
              </w:rPr>
            </w:pPr>
            <w:r>
              <w:rPr>
                <w:rFonts w:ascii="Arial" w:cs="Arial" w:eastAsia="Arial" w:hAnsi="Arial"/>
                <w:sz w:val="18"/>
                <w:szCs w:val="18"/>
                <w:color w:val="auto"/>
              </w:rPr>
              <w:t xml:space="preserve">Restructuring, restructuring-related, and impairment charges (See </w:t>
            </w:r>
            <w:r>
              <w:rPr>
                <w:rFonts w:ascii="Arial" w:cs="Arial" w:eastAsia="Arial" w:hAnsi="Arial"/>
                <w:sz w:val="18"/>
                <w:szCs w:val="18"/>
                <w:color w:val="3051F2"/>
              </w:rPr>
              <w:t>Note E</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r>
        <w:trPr>
          <w:trHeight w:val="228"/>
        </w:trPr>
        <w:tc>
          <w:tcPr>
            <w:tcW w:w="5500" w:type="dxa"/>
            <w:vAlign w:val="bottom"/>
            <w:tcBorders>
              <w:top w:val="single" w:sz="8" w:color="CCEEFF"/>
            </w:tcBorders>
            <w:gridSpan w:val="3"/>
          </w:tcPr>
          <w:p>
            <w:pPr>
              <w:ind w:left="240"/>
              <w:spacing w:after="0"/>
              <w:rPr>
                <w:sz w:val="20"/>
                <w:szCs w:val="20"/>
                <w:color w:val="auto"/>
              </w:rPr>
            </w:pPr>
            <w:r>
              <w:rPr>
                <w:rFonts w:ascii="Arial" w:cs="Arial" w:eastAsia="Arial" w:hAnsi="Arial"/>
                <w:sz w:val="18"/>
                <w:szCs w:val="18"/>
                <w:color w:val="auto"/>
              </w:rPr>
              <w:t>Gain on sale of real estate</w:t>
            </w:r>
          </w:p>
        </w:tc>
        <w:tc>
          <w:tcPr>
            <w:tcW w:w="540" w:type="dxa"/>
            <w:vAlign w:val="bottom"/>
            <w:tcBorders>
              <w:top w:val="single" w:sz="8" w:color="3051F2"/>
            </w:tcBorders>
          </w:tcPr>
          <w:p>
            <w:pPr>
              <w:spacing w:after="0"/>
              <w:rPr>
                <w:sz w:val="19"/>
                <w:szCs w:val="19"/>
                <w:color w:val="auto"/>
              </w:rPr>
            </w:pPr>
          </w:p>
        </w:tc>
        <w:tc>
          <w:tcPr>
            <w:tcW w:w="46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28"/>
        </w:trPr>
        <w:tc>
          <w:tcPr>
            <w:tcW w:w="650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Net gain from insurance proceeds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6"/>
          </w:tcPr>
          <w:p>
            <w:pPr>
              <w:ind w:left="240"/>
              <w:spacing w:after="0" w:line="227"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3,699.7</w:t>
            </w:r>
          </w:p>
        </w:tc>
        <w:tc>
          <w:tcPr>
            <w:tcW w:w="0" w:type="dxa"/>
            <w:vAlign w:val="bottom"/>
          </w:tcPr>
          <w:p>
            <w:pPr>
              <w:spacing w:after="0"/>
              <w:rPr>
                <w:sz w:val="1"/>
                <w:szCs w:val="1"/>
                <w:color w:val="auto"/>
              </w:rPr>
            </w:pPr>
          </w:p>
        </w:tc>
      </w:tr>
      <w:tr>
        <w:trPr>
          <w:trHeight w:val="221"/>
        </w:trPr>
        <w:tc>
          <w:tcPr>
            <w:tcW w:w="65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Segment EBIT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381.6</w:t>
            </w:r>
          </w:p>
        </w:tc>
        <w:tc>
          <w:tcPr>
            <w:tcW w:w="0" w:type="dxa"/>
            <w:vAlign w:val="bottom"/>
          </w:tcPr>
          <w:p>
            <w:pPr>
              <w:spacing w:after="0"/>
              <w:rPr>
                <w:sz w:val="1"/>
                <w:szCs w:val="1"/>
                <w:color w:val="auto"/>
              </w:rPr>
            </w:pPr>
          </w:p>
        </w:tc>
      </w:tr>
      <w:tr>
        <w:trPr>
          <w:trHeight w:val="228"/>
        </w:trPr>
        <w:tc>
          <w:tcPr>
            <w:tcW w:w="6500" w:type="dxa"/>
            <w:vAlign w:val="bottom"/>
            <w:gridSpan w:val="6"/>
          </w:tcPr>
          <w:p>
            <w:pPr>
              <w:ind w:left="340"/>
              <w:spacing w:after="0" w:line="227" w:lineRule="exact"/>
              <w:rPr>
                <w:sz w:val="20"/>
                <w:szCs w:val="20"/>
                <w:color w:val="auto"/>
              </w:rPr>
            </w:pPr>
            <w:r>
              <w:rPr>
                <w:rFonts w:ascii="Arial" w:cs="Arial" w:eastAsia="Arial" w:hAnsi="Arial"/>
                <w:sz w:val="17"/>
                <w:szCs w:val="17"/>
                <w:color w:val="auto"/>
              </w:rPr>
              <w:t xml:space="preserve">Intersegment eliminations and other </w:t>
            </w:r>
            <w:r>
              <w:rPr>
                <w:rFonts w:ascii="Arial" w:cs="Arial" w:eastAsia="Arial" w:hAnsi="Arial"/>
                <w:sz w:val="26"/>
                <w:szCs w:val="26"/>
                <w:b w:val="1"/>
                <w:bCs w:val="1"/>
                <w:color w:val="auto"/>
                <w:vertAlign w:val="superscript"/>
              </w:rPr>
              <w:t>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28"/>
        </w:trPr>
        <w:tc>
          <w:tcPr>
            <w:tcW w:w="65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0" w:type="dxa"/>
            <w:vAlign w:val="bottom"/>
          </w:tcPr>
          <w:p>
            <w:pPr>
              <w:spacing w:after="0"/>
              <w:rPr>
                <w:sz w:val="1"/>
                <w:szCs w:val="1"/>
                <w:color w:val="auto"/>
              </w:rPr>
            </w:pPr>
          </w:p>
        </w:tc>
      </w:tr>
      <w:tr>
        <w:trPr>
          <w:trHeight w:val="221"/>
        </w:trPr>
        <w:tc>
          <w:tcPr>
            <w:tcW w:w="6500" w:type="dxa"/>
            <w:vAlign w:val="bottom"/>
            <w:gridSpan w:val="6"/>
          </w:tcPr>
          <w:p>
            <w:pPr>
              <w:ind w:left="46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289.7</w:t>
            </w:r>
          </w:p>
        </w:tc>
        <w:tc>
          <w:tcPr>
            <w:tcW w:w="0" w:type="dxa"/>
            <w:vAlign w:val="bottom"/>
          </w:tcPr>
          <w:p>
            <w:pPr>
              <w:spacing w:after="0"/>
              <w:rPr>
                <w:sz w:val="1"/>
                <w:szCs w:val="1"/>
                <w:color w:val="auto"/>
              </w:rPr>
            </w:pPr>
          </w:p>
        </w:tc>
      </w:tr>
      <w:tr>
        <w:trPr>
          <w:trHeight w:val="20"/>
        </w:trPr>
        <w:tc>
          <w:tcPr>
            <w:tcW w:w="6040" w:type="dxa"/>
            <w:vAlign w:val="bottom"/>
            <w:gridSpan w:val="4"/>
            <w:vMerge w:val="restart"/>
          </w:tcPr>
          <w:p>
            <w:pPr>
              <w:ind w:left="552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0"/>
        </w:trPr>
        <w:tc>
          <w:tcPr>
            <w:tcW w:w="60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Bedding</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Specialized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Year Ended December 31, 2024</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tcBorders>
              <w:top w:val="single" w:sz="8" w:color="auto"/>
            </w:tcBorders>
            <w:gridSpan w:val="5"/>
            <w:shd w:val="clear" w:color="auto" w:fill="CCEEFF"/>
          </w:tcPr>
          <w:p>
            <w:pPr>
              <w:ind w:left="140"/>
              <w:spacing w:after="0" w:line="221" w:lineRule="exact"/>
              <w:rPr>
                <w:sz w:val="20"/>
                <w:szCs w:val="20"/>
                <w:color w:val="auto"/>
              </w:rPr>
            </w:pPr>
            <w:r>
              <w:rPr>
                <w:rFonts w:ascii="Arial" w:cs="Arial" w:eastAsia="Arial" w:hAnsi="Arial"/>
                <w:sz w:val="17"/>
                <w:szCs w:val="17"/>
                <w:color w:val="auto"/>
              </w:rPr>
              <w:t xml:space="preserve">Trade sales </w:t>
            </w:r>
            <w:r>
              <w:rPr>
                <w:rFonts w:ascii="Arial" w:cs="Arial" w:eastAsia="Arial" w:hAnsi="Arial"/>
                <w:sz w:val="25"/>
                <w:szCs w:val="25"/>
                <w:b w:val="1"/>
                <w:bCs w:val="1"/>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6"/>
          </w:tcPr>
          <w:p>
            <w:pPr>
              <w:ind w:left="140"/>
              <w:spacing w:after="0"/>
              <w:rPr>
                <w:sz w:val="20"/>
                <w:szCs w:val="20"/>
                <w:color w:val="auto"/>
              </w:rPr>
            </w:pPr>
            <w:r>
              <w:rPr>
                <w:rFonts w:ascii="Arial" w:cs="Arial" w:eastAsia="Arial" w:hAnsi="Arial"/>
                <w:sz w:val="18"/>
                <w:szCs w:val="18"/>
                <w:color w:val="auto"/>
              </w:rPr>
              <w:t>Inter-segment sales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1"/>
        </w:trPr>
        <w:tc>
          <w:tcPr>
            <w:tcW w:w="650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Total segment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4,421.7</w:t>
            </w:r>
          </w:p>
        </w:tc>
        <w:tc>
          <w:tcPr>
            <w:tcW w:w="0" w:type="dxa"/>
            <w:vAlign w:val="bottom"/>
          </w:tcPr>
          <w:p>
            <w:pPr>
              <w:spacing w:after="0"/>
              <w:rPr>
                <w:sz w:val="1"/>
                <w:szCs w:val="1"/>
                <w:color w:val="auto"/>
              </w:rPr>
            </w:pPr>
          </w:p>
        </w:tc>
      </w:tr>
      <w:tr>
        <w:trPr>
          <w:trHeight w:val="228"/>
        </w:trPr>
        <w:tc>
          <w:tcPr>
            <w:tcW w:w="6500" w:type="dxa"/>
            <w:vAlign w:val="bottom"/>
            <w:gridSpan w:val="6"/>
          </w:tcPr>
          <w:p>
            <w:pPr>
              <w:ind w:left="14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6"/>
          </w:tcPr>
          <w:p>
            <w:pPr>
              <w:ind w:left="460"/>
              <w:spacing w:after="0" w:line="227" w:lineRule="exact"/>
              <w:rPr>
                <w:sz w:val="20"/>
                <w:szCs w:val="20"/>
                <w:color w:val="auto"/>
              </w:rPr>
            </w:pPr>
            <w:r>
              <w:rPr>
                <w:rFonts w:ascii="Arial" w:cs="Arial" w:eastAsia="Arial" w:hAnsi="Arial"/>
                <w:sz w:val="17"/>
                <w:szCs w:val="17"/>
                <w:color w:val="auto"/>
              </w:rPr>
              <w:t xml:space="preserve">Nonoperating assets depreciation and amortization </w:t>
            </w:r>
            <w:r>
              <w:rPr>
                <w:rFonts w:ascii="Arial" w:cs="Arial" w:eastAsia="Arial" w:hAnsi="Arial"/>
                <w:sz w:val="26"/>
                <w:szCs w:val="26"/>
                <w:b w:val="1"/>
                <w:bCs w:val="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1"/>
        </w:trPr>
        <w:tc>
          <w:tcPr>
            <w:tcW w:w="650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188"/>
        </w:trPr>
        <w:tc>
          <w:tcPr>
            <w:tcW w:w="6500" w:type="dxa"/>
            <w:vAlign w:val="bottom"/>
            <w:gridSpan w:val="6"/>
          </w:tcPr>
          <w:p>
            <w:pPr>
              <w:ind w:left="240"/>
              <w:spacing w:after="0" w:line="188" w:lineRule="exact"/>
              <w:rPr>
                <w:sz w:val="20"/>
                <w:szCs w:val="20"/>
                <w:color w:val="auto"/>
              </w:rPr>
            </w:pPr>
            <w:r>
              <w:rPr>
                <w:rFonts w:ascii="Arial" w:cs="Arial" w:eastAsia="Arial" w:hAnsi="Arial"/>
                <w:sz w:val="18"/>
                <w:szCs w:val="18"/>
                <w:color w:val="auto"/>
              </w:rPr>
              <w:t xml:space="preserve">Goodwill impairment (See </w:t>
            </w:r>
            <w:r>
              <w:rPr>
                <w:rFonts w:ascii="Arial" w:cs="Arial" w:eastAsia="Arial" w:hAnsi="Arial"/>
                <w:sz w:val="18"/>
                <w:szCs w:val="18"/>
                <w:color w:val="3051F2"/>
              </w:rPr>
              <w:t>Note F</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587.9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Arial" w:cs="Arial" w:eastAsia="Arial" w:hAnsi="Arial"/>
                <w:sz w:val="18"/>
                <w:szCs w:val="18"/>
                <w:color w:val="auto"/>
              </w:rPr>
              <w:t>43.6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auto"/>
              </w:rPr>
              <w:t>44.5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6"/>
            <w:shd w:val="clear" w:color="auto" w:fill="CCEEFF"/>
          </w:tcPr>
          <w:p>
            <w:pPr>
              <w:ind w:left="240"/>
              <w:spacing w:after="0" w:line="188" w:lineRule="exact"/>
              <w:rPr>
                <w:sz w:val="20"/>
                <w:szCs w:val="20"/>
                <w:color w:val="auto"/>
              </w:rPr>
            </w:pPr>
            <w:r>
              <w:rPr>
                <w:rFonts w:ascii="Arial" w:cs="Arial" w:eastAsia="Arial" w:hAnsi="Arial"/>
                <w:sz w:val="18"/>
                <w:szCs w:val="18"/>
                <w:color w:val="auto"/>
              </w:rPr>
              <w:t xml:space="preserve">Restructuring, restructuring-related, and impairment charges (See </w:t>
            </w:r>
            <w:r>
              <w:rPr>
                <w:rFonts w:ascii="Arial" w:cs="Arial" w:eastAsia="Arial" w:hAnsi="Arial"/>
                <w:sz w:val="18"/>
                <w:szCs w:val="18"/>
                <w:color w:val="3051F2"/>
              </w:rPr>
              <w:t>Note E</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8"/>
        </w:trPr>
        <w:tc>
          <w:tcPr>
            <w:tcW w:w="5500" w:type="dxa"/>
            <w:vAlign w:val="bottom"/>
            <w:tcBorders>
              <w:top w:val="single" w:sz="8" w:color="CCEEFF"/>
            </w:tcBorders>
            <w:gridSpan w:val="3"/>
          </w:tcPr>
          <w:p>
            <w:pPr>
              <w:ind w:left="240"/>
              <w:spacing w:after="0"/>
              <w:rPr>
                <w:sz w:val="20"/>
                <w:szCs w:val="20"/>
                <w:color w:val="auto"/>
              </w:rPr>
            </w:pPr>
            <w:r>
              <w:rPr>
                <w:rFonts w:ascii="Arial" w:cs="Arial" w:eastAsia="Arial" w:hAnsi="Arial"/>
                <w:sz w:val="18"/>
                <w:szCs w:val="18"/>
                <w:color w:val="auto"/>
              </w:rPr>
              <w:t>Gain on sale of real estate</w:t>
            </w:r>
          </w:p>
        </w:tc>
        <w:tc>
          <w:tcPr>
            <w:tcW w:w="540" w:type="dxa"/>
            <w:vAlign w:val="bottom"/>
            <w:tcBorders>
              <w:top w:val="single" w:sz="8" w:color="3051F2"/>
            </w:tcBorders>
          </w:tcPr>
          <w:p>
            <w:pPr>
              <w:spacing w:after="0"/>
              <w:rPr>
                <w:sz w:val="19"/>
                <w:szCs w:val="19"/>
                <w:color w:val="auto"/>
              </w:rPr>
            </w:pPr>
          </w:p>
        </w:tc>
        <w:tc>
          <w:tcPr>
            <w:tcW w:w="46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8"/>
        </w:trPr>
        <w:tc>
          <w:tcPr>
            <w:tcW w:w="6500" w:type="dxa"/>
            <w:vAlign w:val="bottom"/>
            <w:gridSpan w:val="6"/>
            <w:shd w:val="clear" w:color="auto" w:fill="CCEEFF"/>
          </w:tcPr>
          <w:p>
            <w:pPr>
              <w:ind w:left="240"/>
              <w:spacing w:after="0"/>
              <w:rPr>
                <w:sz w:val="20"/>
                <w:szCs w:val="20"/>
                <w:color w:val="auto"/>
              </w:rPr>
            </w:pPr>
            <w:r>
              <w:rPr>
                <w:rFonts w:ascii="Arial" w:cs="Arial" w:eastAsia="Arial" w:hAnsi="Arial"/>
                <w:sz w:val="18"/>
                <w:szCs w:val="18"/>
                <w:color w:val="auto"/>
              </w:rPr>
              <w:t>Net gain from insurance proceeds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6"/>
          </w:tcPr>
          <w:p>
            <w:pPr>
              <w:ind w:left="240"/>
              <w:spacing w:after="0" w:line="227"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4,019.4</w:t>
            </w:r>
          </w:p>
        </w:tc>
        <w:tc>
          <w:tcPr>
            <w:tcW w:w="0" w:type="dxa"/>
            <w:vAlign w:val="bottom"/>
          </w:tcPr>
          <w:p>
            <w:pPr>
              <w:spacing w:after="0"/>
              <w:rPr>
                <w:sz w:val="1"/>
                <w:szCs w:val="1"/>
                <w:color w:val="auto"/>
              </w:rPr>
            </w:pPr>
          </w:p>
        </w:tc>
      </w:tr>
      <w:tr>
        <w:trPr>
          <w:trHeight w:val="246"/>
        </w:trPr>
        <w:tc>
          <w:tcPr>
            <w:tcW w:w="650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Segment EBIT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6"/>
            <w:vMerge w:val="restart"/>
          </w:tcPr>
          <w:p>
            <w:pPr>
              <w:ind w:left="340"/>
              <w:spacing w:after="0" w:line="214" w:lineRule="exact"/>
              <w:rPr>
                <w:sz w:val="20"/>
                <w:szCs w:val="20"/>
                <w:color w:val="auto"/>
              </w:rPr>
            </w:pPr>
            <w:r>
              <w:rPr>
                <w:rFonts w:ascii="Arial" w:cs="Arial" w:eastAsia="Arial" w:hAnsi="Arial"/>
                <w:sz w:val="16"/>
                <w:szCs w:val="16"/>
                <w:color w:val="auto"/>
              </w:rPr>
              <w:t xml:space="preserve">Intersegment eliminations and other </w:t>
            </w:r>
            <w:r>
              <w:rPr>
                <w:rFonts w:ascii="Arial" w:cs="Arial" w:eastAsia="Arial" w:hAnsi="Arial"/>
                <w:sz w:val="24"/>
                <w:szCs w:val="24"/>
                <w:b w:val="1"/>
                <w:bCs w:val="1"/>
                <w:color w:val="auto"/>
                <w:vertAlign w:val="superscript"/>
              </w:rPr>
              <w:t>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75"/>
        </w:trPr>
        <w:tc>
          <w:tcPr>
            <w:tcW w:w="650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5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1"/>
        </w:trPr>
        <w:tc>
          <w:tcPr>
            <w:tcW w:w="6500" w:type="dxa"/>
            <w:vAlign w:val="bottom"/>
            <w:gridSpan w:val="6"/>
          </w:tcPr>
          <w:p>
            <w:pPr>
              <w:ind w:left="46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0"/>
        </w:trPr>
        <w:tc>
          <w:tcPr>
            <w:tcW w:w="6040" w:type="dxa"/>
            <w:vAlign w:val="bottom"/>
            <w:gridSpan w:val="4"/>
            <w:vMerge w:val="restart"/>
          </w:tcPr>
          <w:p>
            <w:pPr>
              <w:ind w:left="552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3"/>
        </w:trPr>
        <w:tc>
          <w:tcPr>
            <w:tcW w:w="60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Bedding</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Specialized</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Flooring &amp;</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Year Ended December 31, 2023</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Textile</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5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tcBorders>
              <w:top w:val="single" w:sz="8" w:color="auto"/>
            </w:tcBorders>
            <w:gridSpan w:val="3"/>
            <w:shd w:val="clear" w:color="auto" w:fill="CCEEFF"/>
          </w:tcPr>
          <w:p>
            <w:pPr>
              <w:ind w:left="140"/>
              <w:spacing w:after="0" w:line="221" w:lineRule="exact"/>
              <w:rPr>
                <w:sz w:val="20"/>
                <w:szCs w:val="20"/>
                <w:color w:val="auto"/>
              </w:rPr>
            </w:pPr>
            <w:r>
              <w:rPr>
                <w:rFonts w:ascii="Arial" w:cs="Arial" w:eastAsia="Arial" w:hAnsi="Arial"/>
                <w:sz w:val="17"/>
                <w:szCs w:val="17"/>
                <w:color w:val="auto"/>
              </w:rPr>
              <w:t xml:space="preserve">Trade sales </w:t>
            </w:r>
            <w:r>
              <w:rPr>
                <w:rFonts w:ascii="Arial" w:cs="Arial" w:eastAsia="Arial" w:hAnsi="Arial"/>
                <w:sz w:val="25"/>
                <w:szCs w:val="25"/>
                <w:b w:val="1"/>
                <w:bCs w:val="1"/>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4,725.3</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Inter-segment sales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1"/>
        </w:trPr>
        <w:tc>
          <w:tcPr>
            <w:tcW w:w="65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 segment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4,770.4</w:t>
            </w:r>
          </w:p>
        </w:tc>
        <w:tc>
          <w:tcPr>
            <w:tcW w:w="0" w:type="dxa"/>
            <w:vAlign w:val="bottom"/>
          </w:tcPr>
          <w:p>
            <w:pPr>
              <w:spacing w:after="0"/>
              <w:rPr>
                <w:sz w:val="1"/>
                <w:szCs w:val="1"/>
                <w:color w:val="auto"/>
              </w:rPr>
            </w:pPr>
          </w:p>
        </w:tc>
      </w:tr>
      <w:tr>
        <w:trPr>
          <w:trHeight w:val="228"/>
        </w:trPr>
        <w:tc>
          <w:tcPr>
            <w:tcW w:w="6500" w:type="dxa"/>
            <w:vAlign w:val="bottom"/>
            <w:gridSpan w:val="4"/>
          </w:tcPr>
          <w:p>
            <w:pPr>
              <w:ind w:left="14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4"/>
          </w:tcPr>
          <w:p>
            <w:pPr>
              <w:ind w:left="460"/>
              <w:spacing w:after="0" w:line="227" w:lineRule="exact"/>
              <w:rPr>
                <w:sz w:val="20"/>
                <w:szCs w:val="20"/>
                <w:color w:val="auto"/>
              </w:rPr>
            </w:pPr>
            <w:r>
              <w:rPr>
                <w:rFonts w:ascii="Arial" w:cs="Arial" w:eastAsia="Arial" w:hAnsi="Arial"/>
                <w:sz w:val="17"/>
                <w:szCs w:val="17"/>
                <w:color w:val="auto"/>
              </w:rPr>
              <w:t xml:space="preserve">Nonoperating assets depreciation and amortization </w:t>
            </w:r>
            <w:r>
              <w:rPr>
                <w:rFonts w:ascii="Arial" w:cs="Arial" w:eastAsia="Arial" w:hAnsi="Arial"/>
                <w:sz w:val="26"/>
                <w:szCs w:val="26"/>
                <w:b w:val="1"/>
                <w:bCs w:val="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65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188"/>
        </w:trPr>
        <w:tc>
          <w:tcPr>
            <w:tcW w:w="6500" w:type="dxa"/>
            <w:vAlign w:val="bottom"/>
            <w:gridSpan w:val="4"/>
          </w:tcPr>
          <w:p>
            <w:pPr>
              <w:ind w:left="240"/>
              <w:spacing w:after="0" w:line="188" w:lineRule="exact"/>
              <w:rPr>
                <w:sz w:val="20"/>
                <w:szCs w:val="20"/>
                <w:color w:val="auto"/>
              </w:rPr>
            </w:pPr>
            <w:r>
              <w:rPr>
                <w:rFonts w:ascii="Arial" w:cs="Arial" w:eastAsia="Arial" w:hAnsi="Arial"/>
                <w:sz w:val="18"/>
                <w:szCs w:val="18"/>
                <w:color w:val="auto"/>
              </w:rPr>
              <w:t xml:space="preserve">Long-lived asset impairment (See </w:t>
            </w:r>
            <w:r>
              <w:rPr>
                <w:rFonts w:ascii="Arial" w:cs="Arial" w:eastAsia="Arial" w:hAnsi="Arial"/>
                <w:sz w:val="18"/>
                <w:szCs w:val="18"/>
                <w:color w:val="3051F2"/>
              </w:rPr>
              <w:t>Note F</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Arial" w:cs="Arial" w:eastAsia="Arial" w:hAnsi="Arial"/>
                <w:sz w:val="18"/>
                <w:szCs w:val="18"/>
                <w:color w:val="auto"/>
              </w:rPr>
              <w:t>443.7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tcBorders>
              <w:top w:val="single" w:sz="8" w:color="3051F2"/>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Gain on sale of real estate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8"/>
        </w:trPr>
        <w:tc>
          <w:tcPr>
            <w:tcW w:w="6500" w:type="dxa"/>
            <w:vAlign w:val="bottom"/>
            <w:gridSpan w:val="4"/>
          </w:tcPr>
          <w:p>
            <w:pPr>
              <w:ind w:left="240"/>
              <w:spacing w:after="0"/>
              <w:rPr>
                <w:sz w:val="20"/>
                <w:szCs w:val="20"/>
                <w:color w:val="auto"/>
              </w:rPr>
            </w:pPr>
            <w:r>
              <w:rPr>
                <w:rFonts w:ascii="Arial" w:cs="Arial" w:eastAsia="Arial" w:hAnsi="Arial"/>
                <w:sz w:val="18"/>
                <w:szCs w:val="18"/>
                <w:color w:val="auto"/>
              </w:rPr>
              <w:t>Net gain from insurance proceeds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8"/>
        </w:trPr>
        <w:tc>
          <w:tcPr>
            <w:tcW w:w="6500" w:type="dxa"/>
            <w:vAlign w:val="bottom"/>
            <w:gridSpan w:val="4"/>
            <w:shd w:val="clear" w:color="auto" w:fill="CCEEFF"/>
          </w:tcPr>
          <w:p>
            <w:pPr>
              <w:ind w:left="240"/>
              <w:spacing w:after="0" w:line="227"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4,257.2</w:t>
            </w:r>
          </w:p>
        </w:tc>
        <w:tc>
          <w:tcPr>
            <w:tcW w:w="0" w:type="dxa"/>
            <w:vAlign w:val="bottom"/>
          </w:tcPr>
          <w:p>
            <w:pPr>
              <w:spacing w:after="0"/>
              <w:rPr>
                <w:sz w:val="1"/>
                <w:szCs w:val="1"/>
                <w:color w:val="auto"/>
              </w:rPr>
            </w:pPr>
          </w:p>
        </w:tc>
      </w:tr>
      <w:tr>
        <w:trPr>
          <w:trHeight w:val="221"/>
        </w:trPr>
        <w:tc>
          <w:tcPr>
            <w:tcW w:w="6500" w:type="dxa"/>
            <w:vAlign w:val="bottom"/>
            <w:gridSpan w:val="4"/>
          </w:tcPr>
          <w:p>
            <w:pPr>
              <w:ind w:left="340"/>
              <w:spacing w:after="0"/>
              <w:rPr>
                <w:sz w:val="20"/>
                <w:szCs w:val="20"/>
                <w:color w:val="auto"/>
              </w:rPr>
            </w:pPr>
            <w:r>
              <w:rPr>
                <w:rFonts w:ascii="Arial" w:cs="Arial" w:eastAsia="Arial" w:hAnsi="Arial"/>
                <w:sz w:val="18"/>
                <w:szCs w:val="18"/>
                <w:color w:val="auto"/>
              </w:rPr>
              <w:t>Segment 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00" w:type="dxa"/>
            <w:vAlign w:val="bottom"/>
            <w:gridSpan w:val="4"/>
            <w:shd w:val="clear" w:color="auto" w:fill="CCEEFF"/>
          </w:tcPr>
          <w:p>
            <w:pPr>
              <w:ind w:left="340"/>
              <w:spacing w:after="0" w:line="195" w:lineRule="exact"/>
              <w:rPr>
                <w:sz w:val="20"/>
                <w:szCs w:val="20"/>
                <w:color w:val="auto"/>
              </w:rPr>
            </w:pPr>
            <w:r>
              <w:rPr>
                <w:rFonts w:ascii="Arial" w:cs="Arial" w:eastAsia="Arial" w:hAnsi="Arial"/>
                <w:sz w:val="18"/>
                <w:szCs w:val="18"/>
                <w:color w:val="auto"/>
              </w:rPr>
              <w:t>Intersegment eliminations and other</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6"/>
        </w:trPr>
        <w:tc>
          <w:tcPr>
            <w:tcW w:w="6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60" w:hanging="131"/>
        <w:spacing w:after="0"/>
        <w:tabs>
          <w:tab w:leader="none" w:pos="460" w:val="left"/>
        </w:tabs>
        <w:numPr>
          <w:ilvl w:val="0"/>
          <w:numId w:val="60"/>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B</w:t>
      </w:r>
      <w:r>
        <w:rPr>
          <w:rFonts w:ascii="Arial" w:cs="Arial" w:eastAsia="Arial" w:hAnsi="Arial"/>
          <w:sz w:val="18"/>
          <w:szCs w:val="18"/>
          <w:color w:val="auto"/>
        </w:rPr>
        <w:t xml:space="preserve"> for revenue by product family.</w:t>
      </w:r>
    </w:p>
    <w:p>
      <w:pPr>
        <w:spacing w:after="0" w:line="59" w:lineRule="exact"/>
        <w:rPr>
          <w:sz w:val="20"/>
          <w:szCs w:val="20"/>
          <w:color w:val="auto"/>
        </w:rPr>
      </w:pPr>
    </w:p>
    <w:p>
      <w:pPr>
        <w:ind w:left="480" w:right="400" w:hanging="151"/>
        <w:spacing w:after="0" w:line="204" w:lineRule="auto"/>
        <w:tabs>
          <w:tab w:leader="none" w:pos="446" w:val="left"/>
        </w:tabs>
        <w:numPr>
          <w:ilvl w:val="0"/>
          <w:numId w:val="61"/>
        </w:numPr>
        <w:rPr>
          <w:rFonts w:ascii="Arial" w:cs="Arial" w:eastAsia="Arial" w:hAnsi="Arial"/>
          <w:sz w:val="28"/>
          <w:szCs w:val="28"/>
          <w:b w:val="1"/>
          <w:bCs w:val="1"/>
          <w:color w:val="auto"/>
          <w:vertAlign w:val="superscript"/>
        </w:rPr>
      </w:pPr>
      <w:r>
        <w:rPr>
          <w:rFonts w:ascii="Arial" w:cs="Arial" w:eastAsia="Arial" w:hAnsi="Arial"/>
          <w:sz w:val="18"/>
          <w:szCs w:val="18"/>
          <w:color w:val="auto"/>
        </w:rPr>
        <w:t>Nonoperating assets are not allocated to segments for internal reporting presentations. A portion of amortization and depreciation is included with various other costs in an overhead allocation to each segment.</w:t>
      </w:r>
    </w:p>
    <w:p>
      <w:pPr>
        <w:spacing w:after="0" w:line="73" w:lineRule="exact"/>
        <w:rPr>
          <w:sz w:val="20"/>
          <w:szCs w:val="20"/>
          <w:color w:val="auto"/>
        </w:rPr>
      </w:pPr>
    </w:p>
    <w:p>
      <w:pPr>
        <w:ind w:left="480" w:right="140" w:hanging="151"/>
        <w:spacing w:after="0" w:line="204" w:lineRule="auto"/>
        <w:tabs>
          <w:tab w:leader="none" w:pos="446" w:val="left"/>
        </w:tabs>
        <w:numPr>
          <w:ilvl w:val="0"/>
          <w:numId w:val="62"/>
        </w:numPr>
        <w:rPr>
          <w:rFonts w:ascii="Arial" w:cs="Arial" w:eastAsia="Arial" w:hAnsi="Arial"/>
          <w:sz w:val="28"/>
          <w:szCs w:val="28"/>
          <w:b w:val="1"/>
          <w:bCs w:val="1"/>
          <w:color w:val="auto"/>
          <w:vertAlign w:val="superscript"/>
        </w:rPr>
      </w:pPr>
      <w:r>
        <w:rPr>
          <w:rFonts w:ascii="Arial" w:cs="Arial" w:eastAsia="Arial" w:hAnsi="Arial"/>
          <w:sz w:val="18"/>
          <w:szCs w:val="18"/>
          <w:color w:val="auto"/>
        </w:rPr>
        <w:t>Other segment items included in segment EBIT but not regularly provided to the CODM are comprised of "Cost of goods sold", "Selling and administrative expenses", and "Other (income) expense, net" shown in the Consolidated Statements of Operations.</w:t>
      </w:r>
    </w:p>
    <w:p>
      <w:pPr>
        <w:spacing w:after="0" w:line="73" w:lineRule="exact"/>
        <w:rPr>
          <w:sz w:val="20"/>
          <w:szCs w:val="20"/>
          <w:color w:val="auto"/>
        </w:rPr>
      </w:pPr>
    </w:p>
    <w:p>
      <w:pPr>
        <w:ind w:left="480" w:right="300" w:hanging="151"/>
        <w:spacing w:after="0" w:line="204" w:lineRule="auto"/>
        <w:tabs>
          <w:tab w:leader="none" w:pos="446" w:val="left"/>
        </w:tabs>
        <w:numPr>
          <w:ilvl w:val="0"/>
          <w:numId w:val="63"/>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Intersegment eliminations and other included $22.0 for a pension settlement (see </w:t>
      </w:r>
      <w:r>
        <w:rPr>
          <w:rFonts w:ascii="Arial" w:cs="Arial" w:eastAsia="Arial" w:hAnsi="Arial"/>
          <w:sz w:val="18"/>
          <w:szCs w:val="18"/>
          <w:u w:val="single" w:color="auto"/>
          <w:color w:val="0000FF"/>
        </w:rPr>
        <w:t>Note M</w:t>
      </w:r>
      <w:r>
        <w:rPr>
          <w:rFonts w:ascii="Arial" w:cs="Arial" w:eastAsia="Arial" w:hAnsi="Arial"/>
          <w:sz w:val="18"/>
          <w:szCs w:val="18"/>
          <w:color w:val="auto"/>
        </w:rPr>
        <w:t xml:space="preserve">) and $3.4 for Somnigroup International Inc. unsolicited offer evaluation costs (see </w:t>
      </w:r>
      <w:r>
        <w:rPr>
          <w:rFonts w:ascii="Arial" w:cs="Arial" w:eastAsia="Arial" w:hAnsi="Arial"/>
          <w:sz w:val="18"/>
          <w:szCs w:val="18"/>
          <w:u w:val="single" w:color="auto"/>
          <w:color w:val="0000FF"/>
        </w:rPr>
        <w:t>Note U</w:t>
      </w:r>
      <w:r>
        <w:rPr>
          <w:rFonts w:ascii="Arial" w:cs="Arial" w:eastAsia="Arial" w:hAnsi="Arial"/>
          <w:sz w:val="18"/>
          <w:szCs w:val="18"/>
          <w:color w:val="auto"/>
        </w:rPr>
        <w:t>) in 2025 and $3.7 in CEO transition compensation costs in 2024.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Average assets for our segments are shown in the table below and reflect the basis for return measures used by management to evaluate segment performance. These segment totals include working capital (current assets and current liabilities utilized in operations) plus net property, plant and equipment. Segment assets for all years are reflected at their estimated average for the year.</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6"/>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4"/>
              <w:spacing w:after="0" w:line="146" w:lineRule="exact"/>
              <w:rPr>
                <w:sz w:val="20"/>
                <w:szCs w:val="20"/>
                <w:color w:val="auto"/>
              </w:rPr>
            </w:pPr>
            <w:r>
              <w:rPr>
                <w:rFonts w:ascii="Arial" w:cs="Arial" w:eastAsia="Arial" w:hAnsi="Arial"/>
                <w:sz w:val="14"/>
                <w:szCs w:val="14"/>
                <w:b w:val="1"/>
                <w:bCs w:val="1"/>
                <w:color w:val="auto"/>
              </w:rPr>
              <w:t>Additions</w:t>
            </w:r>
          </w:p>
        </w:tc>
        <w:tc>
          <w:tcPr>
            <w:tcW w:w="0" w:type="dxa"/>
            <w:vAlign w:val="bottom"/>
          </w:tcPr>
          <w:p>
            <w:pPr>
              <w:spacing w:after="0"/>
              <w:rPr>
                <w:sz w:val="1"/>
                <w:szCs w:val="1"/>
                <w:color w:val="auto"/>
              </w:rPr>
            </w:pPr>
          </w:p>
        </w:tc>
      </w:tr>
      <w:tr>
        <w:trPr>
          <w:trHeight w:val="143"/>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4"/>
              <w:spacing w:after="0" w:line="143"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38"/>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4"/>
              <w:spacing w:after="0" w:line="138"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47"/>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060" w:type="dxa"/>
            <w:vAlign w:val="bottom"/>
          </w:tcPr>
          <w:p>
            <w:pPr>
              <w:jc w:val="center"/>
              <w:ind w:right="94"/>
              <w:spacing w:after="0" w:line="147" w:lineRule="exact"/>
              <w:rPr>
                <w:sz w:val="20"/>
                <w:szCs w:val="20"/>
                <w:color w:val="auto"/>
              </w:rPr>
            </w:pPr>
            <w:r>
              <w:rPr>
                <w:rFonts w:ascii="Arial" w:cs="Arial" w:eastAsia="Arial" w:hAnsi="Arial"/>
                <w:sz w:val="14"/>
                <w:szCs w:val="14"/>
                <w:b w:val="1"/>
                <w:bCs w:val="1"/>
                <w:color w:val="auto"/>
              </w:rPr>
              <w:t>Plant and</w:t>
            </w:r>
          </w:p>
        </w:tc>
        <w:tc>
          <w:tcPr>
            <w:tcW w:w="0" w:type="dxa"/>
            <w:vAlign w:val="bottom"/>
          </w:tcPr>
          <w:p>
            <w:pPr>
              <w:spacing w:after="0"/>
              <w:rPr>
                <w:sz w:val="1"/>
                <w:szCs w:val="1"/>
                <w:color w:val="auto"/>
              </w:rPr>
            </w:pPr>
          </w:p>
        </w:tc>
      </w:tr>
      <w:tr>
        <w:trPr>
          <w:trHeight w:val="184"/>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4"/>
              <w:spacing w:after="0"/>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208"/>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Bedding Products</w:t>
            </w: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Furniture, Flooring &amp; Textile Products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current liabilities included in segment numbers above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Unallocated assets and other </w:t>
            </w:r>
            <w:r>
              <w:rPr>
                <w:rFonts w:ascii="Arial" w:cs="Arial" w:eastAsia="Arial" w:hAnsi="Arial"/>
                <w:sz w:val="26"/>
                <w:szCs w:val="26"/>
                <w:b w:val="1"/>
                <w:bCs w:val="1"/>
                <w:color w:val="auto"/>
                <w:vertAlign w:val="superscript"/>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between average assets and year-end balance sheet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3,536.</w:t>
            </w:r>
            <w:r>
              <w:rPr>
                <w:rFonts w:ascii="Arial" w:cs="Arial" w:eastAsia="Arial" w:hAnsi="Arial"/>
                <w:sz w:val="18"/>
                <w:szCs w:val="18"/>
                <w:b w:val="1"/>
                <w:bCs w:val="1"/>
                <w:u w:val="single" w:color="auto"/>
                <w:color w:val="auto"/>
              </w:rPr>
              <w:t>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Bedding Products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Furniture, Flooring &amp; Textile Products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current liabilities included in segment numbers above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Unallocated assets and other </w:t>
            </w:r>
            <w:r>
              <w:rPr>
                <w:rFonts w:ascii="Arial" w:cs="Arial" w:eastAsia="Arial" w:hAnsi="Arial"/>
                <w:sz w:val="26"/>
                <w:szCs w:val="26"/>
                <w:b w:val="1"/>
                <w:bCs w:val="1"/>
                <w:color w:val="auto"/>
                <w:vertAlign w:val="superscript"/>
              </w:rPr>
              <w:t>1, 2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between average assets and year-end balance sheet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Bedding Products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Specialized Products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8"/>
        </w:trPr>
        <w:tc>
          <w:tcPr>
            <w:tcW w:w="7500" w:type="dxa"/>
            <w:vAlign w:val="bottom"/>
          </w:tcPr>
          <w:p>
            <w:pPr>
              <w:ind w:left="320"/>
              <w:spacing w:after="0"/>
              <w:rPr>
                <w:sz w:val="20"/>
                <w:szCs w:val="20"/>
                <w:color w:val="auto"/>
              </w:rPr>
            </w:pPr>
            <w:r>
              <w:rPr>
                <w:rFonts w:ascii="Arial" w:cs="Arial" w:eastAsia="Arial" w:hAnsi="Arial"/>
                <w:sz w:val="18"/>
                <w:szCs w:val="18"/>
                <w:color w:val="auto"/>
              </w:rPr>
              <w:t>Furniture, Flooring &amp; Textile Products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current liabilities included in segment numbers above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0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Unallocated assets and other </w:t>
            </w:r>
            <w:r>
              <w:rPr>
                <w:rFonts w:ascii="Arial" w:cs="Arial" w:eastAsia="Arial" w:hAnsi="Arial"/>
                <w:sz w:val="26"/>
                <w:szCs w:val="26"/>
                <w:b w:val="1"/>
                <w:bCs w:val="1"/>
                <w:color w:val="auto"/>
                <w:vertAlign w:val="superscript"/>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8"/>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between average assets and year-end balance sheet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860" w:hanging="129"/>
        <w:spacing w:after="0"/>
        <w:tabs>
          <w:tab w:leader="none" w:pos="860" w:val="left"/>
        </w:tabs>
        <w:numPr>
          <w:ilvl w:val="0"/>
          <w:numId w:val="64"/>
        </w:numPr>
        <w:rPr>
          <w:rFonts w:ascii="Arial" w:cs="Arial" w:eastAsia="Arial" w:hAnsi="Arial"/>
          <w:sz w:val="28"/>
          <w:szCs w:val="28"/>
          <w:b w:val="1"/>
          <w:bCs w:val="1"/>
          <w:color w:val="auto"/>
          <w:vertAlign w:val="superscript"/>
        </w:rPr>
      </w:pPr>
      <w:r>
        <w:rPr>
          <w:rFonts w:ascii="Arial" w:cs="Arial" w:eastAsia="Arial" w:hAnsi="Arial"/>
          <w:sz w:val="18"/>
          <w:szCs w:val="18"/>
          <w:color w:val="auto"/>
        </w:rPr>
        <w:t>Unallocated assets consists primarily of goodwill, other intangibles, cash, and deferred tax assets.</w:t>
      </w:r>
    </w:p>
    <w:p>
      <w:pPr>
        <w:spacing w:after="0" w:line="77" w:lineRule="exact"/>
        <w:rPr>
          <w:rFonts w:ascii="Arial" w:cs="Arial" w:eastAsia="Arial" w:hAnsi="Arial"/>
          <w:sz w:val="28"/>
          <w:szCs w:val="28"/>
          <w:b w:val="1"/>
          <w:bCs w:val="1"/>
          <w:color w:val="auto"/>
          <w:vertAlign w:val="superscript"/>
        </w:rPr>
      </w:pPr>
    </w:p>
    <w:p>
      <w:pPr>
        <w:ind w:left="740"/>
        <w:spacing w:after="0"/>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2</w:t>
      </w:r>
      <w:r>
        <w:rPr>
          <w:rFonts w:ascii="Arial" w:cs="Arial" w:eastAsia="Arial" w:hAnsi="Arial"/>
          <w:sz w:val="18"/>
          <w:szCs w:val="18"/>
          <w:color w:val="auto"/>
        </w:rPr>
        <w:t xml:space="preserve"> 2024 unallocated assets reflects a $676.0 goodwill impairment as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Trade sales and tangible long-lived assets are presented below, based on the geography of manufacture.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sales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Foreign sales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China</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Mexico</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Total foreign sales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Total trade sales</w:t>
            </w:r>
          </w:p>
        </w:tc>
        <w:tc>
          <w:tcPr>
            <w:tcW w:w="8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0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Tangible long-lived assets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tangible long-lived assets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140.1</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China</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Canada</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Mexico</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foreign tangible long-lived assets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United States</w:t>
            </w:r>
          </w:p>
        </w:tc>
        <w:tc>
          <w:tcPr>
            <w:tcW w:w="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0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tangible long-lived assets</w:t>
            </w: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71"/>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D—Earnings (Loss) Per Share (EPS)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 and diluted earnings (loss) per share were calculated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Net earnings (loss)</w:t>
            </w:r>
          </w:p>
        </w:tc>
        <w:tc>
          <w:tcPr>
            <w:tcW w:w="592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560" w:type="dxa"/>
            <w:vAlign w:val="bottom"/>
            <w:gridSpan w:val="6"/>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235.4</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Earnings attributable to noncontrolling interest, net of tax</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gridSpan w:val="5"/>
          </w:tcPr>
          <w:p>
            <w:pPr>
              <w:ind w:left="320"/>
              <w:spacing w:after="0"/>
              <w:rPr>
                <w:sz w:val="20"/>
                <w:szCs w:val="20"/>
                <w:color w:val="auto"/>
              </w:rPr>
            </w:pPr>
            <w:r>
              <w:rPr>
                <w:rFonts w:ascii="Arial" w:cs="Arial" w:eastAsia="Arial" w:hAnsi="Arial"/>
                <w:sz w:val="18"/>
                <w:szCs w:val="18"/>
                <w:color w:val="auto"/>
              </w:rPr>
              <w:t>Net earnings (loss) attributable to Leggett &amp; Platt, Inc. common shareholders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60" w:type="dxa"/>
            <w:vAlign w:val="bottom"/>
            <w:gridSpan w:val="6"/>
          </w:tcPr>
          <w:p>
            <w:pPr>
              <w:ind w:left="20"/>
              <w:spacing w:after="0" w:line="188" w:lineRule="exact"/>
              <w:rPr>
                <w:sz w:val="20"/>
                <w:szCs w:val="20"/>
                <w:color w:val="auto"/>
              </w:rPr>
            </w:pPr>
            <w:r>
              <w:rPr>
                <w:rFonts w:ascii="Arial" w:cs="Arial" w:eastAsia="Arial" w:hAnsi="Arial"/>
                <w:sz w:val="18"/>
                <w:szCs w:val="18"/>
                <w:b w:val="1"/>
                <w:bCs w:val="1"/>
                <w:color w:val="auto"/>
              </w:rPr>
              <w:t>Weighted average number of shares (in millions)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used in basic EPS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28"/>
        </w:trPr>
        <w:tc>
          <w:tcPr>
            <w:tcW w:w="7560" w:type="dxa"/>
            <w:vAlign w:val="bottom"/>
            <w:gridSpan w:val="6"/>
          </w:tcPr>
          <w:p>
            <w:pPr>
              <w:ind w:left="20"/>
              <w:spacing w:after="0"/>
              <w:rPr>
                <w:sz w:val="20"/>
                <w:szCs w:val="20"/>
                <w:color w:val="auto"/>
              </w:rPr>
            </w:pPr>
            <w:r>
              <w:rPr>
                <w:rFonts w:ascii="Arial" w:cs="Arial" w:eastAsia="Arial" w:hAnsi="Arial"/>
                <w:sz w:val="18"/>
                <w:szCs w:val="18"/>
                <w:color w:val="auto"/>
              </w:rPr>
              <w:t>Dilutive effect of stock-based compensation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7560" w:type="dxa"/>
            <w:vAlign w:val="bottom"/>
            <w:tcBorders>
              <w:top w:val="single" w:sz="8" w:color="CCEEFF"/>
            </w:tcBorders>
            <w:gridSpan w:val="6"/>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 average number of common shares and dilutive potential common shares used in</w:t>
            </w: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3"/>
            <w:shd w:val="clear" w:color="auto" w:fill="CCEEFF"/>
          </w:tcPr>
          <w:p>
            <w:pPr>
              <w:spacing w:after="0" w:line="188" w:lineRule="exact"/>
              <w:rPr>
                <w:sz w:val="20"/>
                <w:szCs w:val="20"/>
                <w:color w:val="auto"/>
              </w:rPr>
            </w:pPr>
            <w:r>
              <w:rPr>
                <w:rFonts w:ascii="Arial" w:cs="Arial" w:eastAsia="Arial" w:hAnsi="Arial"/>
                <w:sz w:val="18"/>
                <w:szCs w:val="18"/>
                <w:b w:val="1"/>
                <w:bCs w:val="1"/>
                <w:color w:val="auto"/>
                <w:w w:val="98"/>
              </w:rPr>
              <w:t>Basic and diluted EPS</w:t>
            </w:r>
          </w:p>
        </w:tc>
        <w:tc>
          <w:tcPr>
            <w:tcW w:w="56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60" w:type="dxa"/>
            <w:vAlign w:val="bottom"/>
            <w:gridSpan w:val="6"/>
          </w:tcPr>
          <w:p>
            <w:pPr>
              <w:ind w:left="20"/>
              <w:spacing w:after="0" w:line="201" w:lineRule="exact"/>
              <w:rPr>
                <w:sz w:val="20"/>
                <w:szCs w:val="20"/>
                <w:color w:val="auto"/>
              </w:rPr>
            </w:pPr>
            <w:r>
              <w:rPr>
                <w:rFonts w:ascii="Arial" w:cs="Arial" w:eastAsia="Arial" w:hAnsi="Arial"/>
                <w:sz w:val="18"/>
                <w:szCs w:val="18"/>
                <w:color w:val="auto"/>
              </w:rPr>
              <w:t>Basic EPS attributable to Leggett &amp; Platt, Inc. common shareholders</w:t>
            </w:r>
          </w:p>
        </w:tc>
        <w:tc>
          <w:tcPr>
            <w:tcW w:w="280" w:type="dxa"/>
            <w:vAlign w:val="bottom"/>
            <w:tcBorders>
              <w:bottom w:val="single" w:sz="8" w:color="auto"/>
            </w:tcBorders>
          </w:tcPr>
          <w:p>
            <w:pPr>
              <w:jc w:val="right"/>
              <w:ind w:right="71"/>
              <w:spacing w:after="0" w:line="201"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1"/>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(3.73)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7560" w:type="dxa"/>
            <w:vAlign w:val="bottom"/>
            <w:gridSpan w:val="6"/>
          </w:tcPr>
          <w:p>
            <w:pPr>
              <w:ind w:left="20"/>
              <w:spacing w:after="0"/>
              <w:rPr>
                <w:sz w:val="20"/>
                <w:szCs w:val="20"/>
                <w:color w:val="auto"/>
              </w:rPr>
            </w:pPr>
            <w:r>
              <w:rPr>
                <w:rFonts w:ascii="Arial" w:cs="Arial" w:eastAsia="Arial" w:hAnsi="Arial"/>
                <w:sz w:val="18"/>
                <w:szCs w:val="18"/>
                <w:color w:val="auto"/>
              </w:rPr>
              <w:t>Diluted EPS attributable to Leggett &amp; Platt, Inc. common shareholders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60" w:type="dxa"/>
            <w:vAlign w:val="bottom"/>
            <w:gridSpan w:val="6"/>
          </w:tcPr>
          <w:p>
            <w:pPr>
              <w:ind w:left="20"/>
              <w:spacing w:after="0" w:line="188" w:lineRule="exact"/>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Anti-dilutive shares excluded from diluted EPS computation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756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E—Restructuring and Related Activities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Restructuring and restructuring-related activity for 2023 was $2.9 and was not associated with any formal plan.</w:t>
      </w:r>
    </w:p>
    <w:p>
      <w:pPr>
        <w:spacing w:after="0" w:line="101" w:lineRule="exact"/>
        <w:rPr>
          <w:sz w:val="20"/>
          <w:szCs w:val="20"/>
          <w:color w:val="auto"/>
        </w:rPr>
      </w:pPr>
    </w:p>
    <w:p>
      <w:pPr>
        <w:jc w:val="both"/>
        <w:ind w:right="100" w:firstLine="402"/>
        <w:spacing w:after="0" w:line="265" w:lineRule="auto"/>
        <w:rPr>
          <w:sz w:val="20"/>
          <w:szCs w:val="20"/>
          <w:color w:val="auto"/>
        </w:rPr>
      </w:pPr>
      <w:r>
        <w:rPr>
          <w:rFonts w:ascii="Arial" w:cs="Arial" w:eastAsia="Arial" w:hAnsi="Arial"/>
          <w:sz w:val="18"/>
          <w:szCs w:val="18"/>
          <w:color w:val="auto"/>
        </w:rPr>
        <w:t>In 2024, we committed to a restructuring plan (the 2024 Restructuring Plan or 2024 Plan). The 2024 Plan was primarily associated with our Bedding Products segment and included, to a lesser extent, our Furniture, Flooring &amp; Textile Products segment, our Specialized Products segment, and general and administrative cost structure initiatives.</w:t>
      </w:r>
    </w:p>
    <w:p>
      <w:pPr>
        <w:spacing w:after="0" w:line="38" w:lineRule="exact"/>
        <w:rPr>
          <w:sz w:val="20"/>
          <w:szCs w:val="20"/>
          <w:color w:val="auto"/>
        </w:rPr>
      </w:pPr>
    </w:p>
    <w:p>
      <w:pPr>
        <w:ind w:right="180" w:firstLine="402"/>
        <w:spacing w:after="0" w:line="259" w:lineRule="auto"/>
        <w:rPr>
          <w:sz w:val="20"/>
          <w:szCs w:val="20"/>
          <w:color w:val="auto"/>
        </w:rPr>
      </w:pPr>
      <w:r>
        <w:rPr>
          <w:rFonts w:ascii="Arial" w:cs="Arial" w:eastAsia="Arial" w:hAnsi="Arial"/>
          <w:sz w:val="18"/>
          <w:szCs w:val="18"/>
          <w:color w:val="auto"/>
        </w:rPr>
        <w:t>Over the course of the restructuring timeline, we consolidated 17 production and distribution facilities in the Bedding Products segment and four production facilities in the Furniture, Flooring &amp; Textile Products segment. We optimized manufacturing and operating efficiencies in the Hydraulic Cylinders Group, and reduced our corporate general and administrative expenses. All of these activities were substantially complete by the end of 2025.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20" w:firstLine="402"/>
        <w:spacing w:after="0" w:line="282" w:lineRule="auto"/>
        <w:rPr>
          <w:sz w:val="20"/>
          <w:szCs w:val="20"/>
          <w:color w:val="auto"/>
        </w:rPr>
      </w:pPr>
      <w:r>
        <w:rPr>
          <w:rFonts w:ascii="Arial" w:cs="Arial" w:eastAsia="Arial" w:hAnsi="Arial"/>
          <w:sz w:val="18"/>
          <w:szCs w:val="18"/>
          <w:color w:val="auto"/>
        </w:rPr>
        <w:t>The following table presents all 2024 Plan restructuring and restructuring-related activity, including impairments, for the periods presented:</w:t>
      </w: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2024 Restructuring Plan activity:</w:t>
      </w:r>
    </w:p>
    <w:p>
      <w:pPr>
        <w:spacing w:after="0" w:line="29" w:lineRule="exact"/>
        <w:rPr>
          <w:sz w:val="20"/>
          <w:szCs w:val="20"/>
          <w:color w:val="auto"/>
        </w:rPr>
      </w:pPr>
    </w:p>
    <w:p>
      <w:pPr>
        <w:ind w:left="380" w:right="360"/>
        <w:spacing w:after="0" w:line="233" w:lineRule="auto"/>
        <w:rPr>
          <w:sz w:val="20"/>
          <w:szCs w:val="20"/>
          <w:color w:val="auto"/>
        </w:rPr>
      </w:pPr>
      <w:r>
        <w:rPr>
          <w:rFonts w:ascii="Arial" w:cs="Arial" w:eastAsia="Arial" w:hAnsi="Arial"/>
          <w:sz w:val="18"/>
          <w:szCs w:val="18"/>
          <w:color w:val="auto"/>
        </w:rPr>
        <w:t>Net cash restructuring and restructuring-related costs</w:t>
      </w:r>
    </w:p>
    <w:p>
      <w:pPr>
        <w:spacing w:after="0" w:line="6" w:lineRule="exact"/>
        <w:rPr>
          <w:sz w:val="20"/>
          <w:szCs w:val="20"/>
          <w:color w:val="auto"/>
        </w:rPr>
      </w:pPr>
    </w:p>
    <w:p>
      <w:pPr>
        <w:ind w:left="380"/>
        <w:spacing w:after="0" w:line="237" w:lineRule="auto"/>
        <w:rPr>
          <w:sz w:val="20"/>
          <w:szCs w:val="20"/>
          <w:color w:val="auto"/>
        </w:rPr>
      </w:pPr>
      <w:r>
        <w:rPr>
          <w:rFonts w:ascii="Arial" w:cs="Arial" w:eastAsia="Arial" w:hAnsi="Arial"/>
          <w:sz w:val="18"/>
          <w:szCs w:val="18"/>
          <w:color w:val="auto"/>
        </w:rPr>
        <w:t>Net non-cash restructuring and restructuring-related costs</w:t>
      </w:r>
    </w:p>
    <w:p>
      <w:pPr>
        <w:spacing w:after="0" w:line="7" w:lineRule="exact"/>
        <w:rPr>
          <w:sz w:val="20"/>
          <w:szCs w:val="20"/>
          <w:color w:val="auto"/>
        </w:rPr>
      </w:pPr>
    </w:p>
    <w:p>
      <w:pPr>
        <w:ind w:left="480" w:right="280"/>
        <w:spacing w:after="0" w:line="237" w:lineRule="auto"/>
        <w:rPr>
          <w:sz w:val="20"/>
          <w:szCs w:val="20"/>
          <w:color w:val="auto"/>
        </w:rPr>
      </w:pPr>
      <w:r>
        <w:rPr>
          <w:rFonts w:ascii="Arial" w:cs="Arial" w:eastAsia="Arial" w:hAnsi="Arial"/>
          <w:sz w:val="18"/>
          <w:szCs w:val="18"/>
          <w:color w:val="auto"/>
        </w:rPr>
        <w:t>Total net restructuring and restructuring-related costs</w:t>
      </w:r>
    </w:p>
    <w:p>
      <w:pPr>
        <w:spacing w:after="0" w:line="7" w:lineRule="exact"/>
        <w:rPr>
          <w:sz w:val="20"/>
          <w:szCs w:val="20"/>
          <w:color w:val="auto"/>
        </w:rPr>
      </w:pPr>
    </w:p>
    <w:p>
      <w:pPr>
        <w:ind w:left="480" w:right="200"/>
        <w:spacing w:after="0" w:line="201" w:lineRule="auto"/>
        <w:rPr>
          <w:sz w:val="20"/>
          <w:szCs w:val="20"/>
          <w:color w:val="auto"/>
        </w:rPr>
      </w:pPr>
      <w:r>
        <w:rPr>
          <w:rFonts w:ascii="Arial" w:cs="Arial" w:eastAsia="Arial" w:hAnsi="Arial"/>
          <w:sz w:val="18"/>
          <w:szCs w:val="18"/>
          <w:color w:val="auto"/>
        </w:rPr>
        <w:t xml:space="preserve">Goodwill and long-lived asset impairment costs </w:t>
      </w:r>
      <w:r>
        <w:rPr>
          <w:rFonts w:ascii="Arial" w:cs="Arial" w:eastAsia="Arial" w:hAnsi="Arial"/>
          <w:sz w:val="27"/>
          <w:szCs w:val="27"/>
          <w:b w:val="1"/>
          <w:bCs w:val="1"/>
          <w:color w:val="auto"/>
          <w:vertAlign w:val="superscript"/>
        </w:rPr>
        <w:t>1</w:t>
      </w:r>
    </w:p>
    <w:p>
      <w:pPr>
        <w:ind w:left="700" w:right="80"/>
        <w:spacing w:after="0" w:line="241" w:lineRule="auto"/>
        <w:rPr>
          <w:sz w:val="20"/>
          <w:szCs w:val="20"/>
          <w:color w:val="auto"/>
        </w:rPr>
      </w:pPr>
      <w:r>
        <w:rPr>
          <w:rFonts w:ascii="Arial" w:cs="Arial" w:eastAsia="Arial" w:hAnsi="Arial"/>
          <w:sz w:val="17"/>
          <w:szCs w:val="17"/>
          <w:color w:val="auto"/>
        </w:rPr>
        <w:t>Total net restructuring and restructuring-related activity, including impairments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ind w:right="9"/>
              <w:spacing w:after="0"/>
              <w:rPr>
                <w:sz w:val="20"/>
                <w:szCs w:val="20"/>
                <w:color w:val="auto"/>
              </w:rPr>
            </w:pPr>
            <w:r>
              <w:rPr>
                <w:rFonts w:ascii="Arial" w:cs="Arial" w:eastAsia="Arial" w:hAnsi="Arial"/>
                <w:sz w:val="14"/>
                <w:szCs w:val="14"/>
                <w:b w:val="1"/>
                <w:bCs w:val="1"/>
                <w:color w:val="auto"/>
              </w:rPr>
              <w:t>Total Approximate</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Total Incurred for the Year Ended</w:t>
            </w:r>
          </w:p>
        </w:tc>
        <w:tc>
          <w:tcPr>
            <w:tcW w:w="0" w:type="dxa"/>
            <w:vAlign w:val="bottom"/>
          </w:tcPr>
          <w:p>
            <w:pPr>
              <w:spacing w:after="0"/>
              <w:rPr>
                <w:sz w:val="1"/>
                <w:szCs w:val="1"/>
                <w:color w:val="auto"/>
              </w:rPr>
            </w:pPr>
          </w:p>
        </w:tc>
      </w:tr>
      <w:tr>
        <w:trPr>
          <w:trHeight w:val="54"/>
        </w:trPr>
        <w:tc>
          <w:tcPr>
            <w:tcW w:w="1720" w:type="dxa"/>
            <w:vAlign w:val="bottom"/>
            <w:vMerge w:val="restart"/>
          </w:tcPr>
          <w:p>
            <w:pPr>
              <w:jc w:val="center"/>
              <w:ind w:right="9"/>
              <w:spacing w:after="0" w:line="143" w:lineRule="exact"/>
              <w:rPr>
                <w:sz w:val="20"/>
                <w:szCs w:val="20"/>
                <w:color w:val="auto"/>
              </w:rPr>
            </w:pPr>
            <w:r>
              <w:rPr>
                <w:rFonts w:ascii="Arial" w:cs="Arial" w:eastAsia="Arial" w:hAnsi="Arial"/>
                <w:sz w:val="14"/>
                <w:szCs w:val="14"/>
                <w:b w:val="1"/>
                <w:bCs w:val="1"/>
                <w:color w:val="auto"/>
              </w:rPr>
              <w:t>Amount Expected to be</w:t>
            </w:r>
          </w:p>
        </w:tc>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7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120" w:type="dxa"/>
            <w:vAlign w:val="bottom"/>
            <w:gridSpan w:val="3"/>
            <w:vMerge w:val="restart"/>
          </w:tcPr>
          <w:p>
            <w:pPr>
              <w:jc w:val="center"/>
              <w:ind w:right="92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06"/>
        </w:trPr>
        <w:tc>
          <w:tcPr>
            <w:tcW w:w="172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9"/>
              </w:rPr>
              <w:t>Incurred</w:t>
            </w:r>
          </w:p>
        </w:tc>
        <w:tc>
          <w:tcPr>
            <w:tcW w:w="2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 Amount Incurred to</w:t>
            </w:r>
          </w:p>
        </w:tc>
        <w:tc>
          <w:tcPr>
            <w:tcW w:w="100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72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2025</w:t>
            </w:r>
          </w:p>
        </w:tc>
        <w:tc>
          <w:tcPr>
            <w:tcW w:w="5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520" w:type="dxa"/>
            <w:vAlign w:val="bottom"/>
            <w:vMerge w:val="restart"/>
          </w:tcPr>
          <w:p>
            <w:pPr>
              <w:jc w:val="right"/>
              <w:ind w:right="52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17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 Since January 1, 2024</w:t>
            </w:r>
          </w:p>
        </w:tc>
        <w:tc>
          <w:tcPr>
            <w:tcW w:w="8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-7620</wp:posOffset>
            </wp:positionV>
            <wp:extent cx="6818630" cy="144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18630" cy="14478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jc w:val="right"/>
              <w:ind w:right="5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1"/>
                <w:szCs w:val="21"/>
                <w:color w:val="auto"/>
              </w:rPr>
            </w:pPr>
          </w:p>
        </w:tc>
        <w:tc>
          <w:tcPr>
            <w:tcW w:w="600" w:type="dxa"/>
            <w:vAlign w:val="bottom"/>
          </w:tcPr>
          <w:p>
            <w:pPr>
              <w:jc w:val="right"/>
              <w:ind w:right="39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600" w:type="dxa"/>
            <w:vAlign w:val="bottom"/>
          </w:tcPr>
          <w:p>
            <w:pPr>
              <w:jc w:val="right"/>
              <w:ind w:right="39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403"/>
        </w:trPr>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408"/>
        </w:trPr>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403"/>
        </w:trPr>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369"/>
        </w:trPr>
        <w:tc>
          <w:tcPr>
            <w:tcW w:w="7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-1071880</wp:posOffset>
            </wp:positionV>
            <wp:extent cx="6818630" cy="264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18630" cy="26416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-544195</wp:posOffset>
            </wp:positionV>
            <wp:extent cx="6818630" cy="264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18630" cy="264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80"/>
            <w:col w:w="7000"/>
          </w:cols>
          <w:pgMar w:left="320" w:top="125" w:right="559" w:bottom="1440" w:gutter="0" w:footer="0" w:header="0"/>
          <w:type w:val="continuous"/>
        </w:sectPr>
      </w:pPr>
    </w:p>
    <w:p>
      <w:pPr>
        <w:spacing w:after="0" w:line="36" w:lineRule="exact"/>
        <w:rPr>
          <w:sz w:val="20"/>
          <w:szCs w:val="20"/>
          <w:color w:val="auto"/>
        </w:rPr>
      </w:pPr>
    </w:p>
    <w:p>
      <w:pPr>
        <w:ind w:left="820" w:hanging="169"/>
        <w:spacing w:after="0" w:line="213" w:lineRule="auto"/>
        <w:tabs>
          <w:tab w:leader="none" w:pos="786" w:val="left"/>
        </w:tabs>
        <w:numPr>
          <w:ilvl w:val="0"/>
          <w:numId w:val="65"/>
        </w:numPr>
        <w:rPr>
          <w:rFonts w:ascii="Arial" w:cs="Arial" w:eastAsia="Arial" w:hAnsi="Arial"/>
          <w:sz w:val="27"/>
          <w:szCs w:val="27"/>
          <w:b w:val="1"/>
          <w:bCs w:val="1"/>
          <w:color w:val="auto"/>
          <w:vertAlign w:val="superscript"/>
        </w:rPr>
      </w:pPr>
      <w:r>
        <w:rPr>
          <w:rFonts w:ascii="Arial" w:cs="Arial" w:eastAsia="Arial" w:hAnsi="Arial"/>
          <w:sz w:val="17"/>
          <w:szCs w:val="17"/>
          <w:color w:val="auto"/>
        </w:rPr>
        <w:t xml:space="preserve">This includes $.7 of goodwill impairment in 2024 related to a small U.S. machinery business within the Bedding Products segment that reached held-for-sale status in the fourth quarter of 2024 and was sold in the first quarter of 2025 as discussed in </w:t>
      </w:r>
      <w:r>
        <w:rPr>
          <w:rFonts w:ascii="Arial" w:cs="Arial" w:eastAsia="Arial" w:hAnsi="Arial"/>
          <w:sz w:val="17"/>
          <w:szCs w:val="17"/>
          <w:u w:val="single" w:color="auto"/>
          <w:color w:val="0000FF"/>
        </w:rPr>
        <w:t>Note S</w:t>
      </w:r>
      <w:r>
        <w:rPr>
          <w:rFonts w:ascii="Arial" w:cs="Arial" w:eastAsia="Arial" w:hAnsi="Arial"/>
          <w:sz w:val="17"/>
          <w:szCs w:val="17"/>
          <w:color w:val="auto"/>
        </w:rPr>
        <w:t>.</w:t>
      </w: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the restructuring and restructuring-related activity for the periods presented:</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Consolidated Statements of</w:t>
            </w: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556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Operations Presentation</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Plan restructuring costs (gains):</w:t>
            </w:r>
          </w:p>
        </w:tc>
        <w:tc>
          <w:tcPr>
            <w:tcW w:w="2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560" w:type="dxa"/>
            <w:vAlign w:val="bottom"/>
          </w:tcPr>
          <w:p>
            <w:pPr>
              <w:ind w:left="220"/>
              <w:spacing w:after="0" w:line="175" w:lineRule="exact"/>
              <w:rPr>
                <w:sz w:val="20"/>
                <w:szCs w:val="20"/>
                <w:color w:val="auto"/>
              </w:rPr>
            </w:pPr>
            <w:r>
              <w:rPr>
                <w:rFonts w:ascii="Arial" w:cs="Arial" w:eastAsia="Arial" w:hAnsi="Arial"/>
                <w:sz w:val="18"/>
                <w:szCs w:val="18"/>
                <w:color w:val="auto"/>
              </w:rPr>
              <w:t>Termination benefits, relocation, and other restructuring costs</w:t>
            </w:r>
          </w:p>
        </w:tc>
        <w:tc>
          <w:tcPr>
            <w:tcW w:w="2220" w:type="dxa"/>
            <w:vAlign w:val="bottom"/>
          </w:tcPr>
          <w:p>
            <w:pPr>
              <w:jc w:val="center"/>
              <w:spacing w:after="0" w:line="175" w:lineRule="exact"/>
              <w:rPr>
                <w:sz w:val="20"/>
                <w:szCs w:val="20"/>
                <w:color w:val="auto"/>
              </w:rPr>
            </w:pPr>
            <w:r>
              <w:rPr>
                <w:rFonts w:ascii="Arial" w:cs="Arial" w:eastAsia="Arial" w:hAnsi="Arial"/>
                <w:sz w:val="18"/>
                <w:szCs w:val="18"/>
                <w:color w:val="auto"/>
                <w:w w:val="99"/>
              </w:rPr>
              <w:t>Other (income) expense,</w:t>
            </w: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5"/>
                <w:szCs w:val="15"/>
                <w:color w:val="auto"/>
              </w:rPr>
            </w:pPr>
          </w:p>
        </w:tc>
        <w:tc>
          <w:tcPr>
            <w:tcW w:w="480" w:type="dxa"/>
            <w:vAlign w:val="bottom"/>
            <w:vMerge w:val="restart"/>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1"/>
        </w:trPr>
        <w:tc>
          <w:tcPr>
            <w:tcW w:w="556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Plan restructuring-related costs (gains):</w:t>
            </w:r>
          </w:p>
        </w:tc>
        <w:tc>
          <w:tcPr>
            <w:tcW w:w="2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60" w:type="dxa"/>
            <w:vAlign w:val="bottom"/>
          </w:tcPr>
          <w:p>
            <w:pPr>
              <w:ind w:left="440"/>
              <w:spacing w:after="0"/>
              <w:rPr>
                <w:sz w:val="20"/>
                <w:szCs w:val="20"/>
                <w:color w:val="auto"/>
              </w:rPr>
            </w:pPr>
            <w:r>
              <w:rPr>
                <w:rFonts w:ascii="Arial" w:cs="Arial" w:eastAsia="Arial" w:hAnsi="Arial"/>
                <w:sz w:val="18"/>
                <w:szCs w:val="18"/>
                <w:color w:val="auto"/>
              </w:rPr>
              <w:t>Inventory obsolescence and other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Cost of goods sold</w:t>
            </w:r>
          </w:p>
        </w:tc>
        <w:tc>
          <w:tcPr>
            <w:tcW w:w="3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4"/>
        </w:trPr>
        <w:tc>
          <w:tcPr>
            <w:tcW w:w="556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Professional services and other</w:t>
            </w:r>
          </w:p>
        </w:tc>
        <w:tc>
          <w:tcPr>
            <w:tcW w:w="222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8"/>
              </w:rPr>
              <w:t>Selling and</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1"/>
        </w:trPr>
        <w:tc>
          <w:tcPr>
            <w:tcW w:w="5560" w:type="dxa"/>
            <w:vAlign w:val="bottom"/>
            <w:vMerge w:val="continue"/>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administrative expenses</w:t>
            </w: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Net loss (gain) on disposal of assets and businesses</w:t>
            </w:r>
          </w:p>
        </w:tc>
        <w:tc>
          <w:tcPr>
            <w:tcW w:w="2220" w:type="dxa"/>
            <w:vAlign w:val="bottom"/>
          </w:tcPr>
          <w:p>
            <w:pPr>
              <w:jc w:val="center"/>
              <w:spacing w:after="0" w:line="175" w:lineRule="exact"/>
              <w:rPr>
                <w:sz w:val="20"/>
                <w:szCs w:val="20"/>
                <w:color w:val="auto"/>
              </w:rPr>
            </w:pPr>
            <w:r>
              <w:rPr>
                <w:rFonts w:ascii="Arial" w:cs="Arial" w:eastAsia="Arial" w:hAnsi="Arial"/>
                <w:sz w:val="18"/>
                <w:szCs w:val="18"/>
                <w:color w:val="auto"/>
                <w:w w:val="99"/>
              </w:rPr>
              <w:t>Net gain on disposal of</w:t>
            </w:r>
          </w:p>
        </w:tc>
        <w:tc>
          <w:tcPr>
            <w:tcW w:w="320" w:type="dxa"/>
            <w:vAlign w:val="bottom"/>
          </w:tcPr>
          <w:p>
            <w:pPr>
              <w:spacing w:after="0"/>
              <w:rPr>
                <w:sz w:val="15"/>
                <w:szCs w:val="15"/>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1"/>
        </w:trPr>
        <w:tc>
          <w:tcPr>
            <w:tcW w:w="5560" w:type="dxa"/>
            <w:vAlign w:val="bottom"/>
            <w:tcBorders>
              <w:bottom w:val="single" w:sz="8" w:color="CCEEFF"/>
            </w:tcBorders>
            <w:vMerge w:val="continue"/>
          </w:tcPr>
          <w:p>
            <w:pPr>
              <w:spacing w:after="0"/>
              <w:rPr>
                <w:sz w:val="20"/>
                <w:szCs w:val="20"/>
                <w:color w:val="auto"/>
              </w:rPr>
            </w:pP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assets and businesses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2024 Plan restructuring-related costs (gains)</w:t>
            </w:r>
          </w:p>
        </w:tc>
        <w:tc>
          <w:tcPr>
            <w:tcW w:w="2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1"/>
        </w:trPr>
        <w:tc>
          <w:tcPr>
            <w:tcW w:w="7780" w:type="dxa"/>
            <w:vAlign w:val="bottom"/>
            <w:gridSpan w:val="2"/>
          </w:tcPr>
          <w:p>
            <w:pPr>
              <w:ind w:left="220"/>
              <w:spacing w:after="0"/>
              <w:rPr>
                <w:sz w:val="20"/>
                <w:szCs w:val="20"/>
                <w:color w:val="auto"/>
              </w:rPr>
            </w:pPr>
            <w:r>
              <w:rPr>
                <w:rFonts w:ascii="Arial" w:cs="Arial" w:eastAsia="Arial" w:hAnsi="Arial"/>
                <w:sz w:val="18"/>
                <w:szCs w:val="18"/>
                <w:color w:val="auto"/>
              </w:rPr>
              <w:t>Total 2024 Plan net restructuring and restructuring-related costs (gains)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line="227" w:lineRule="exact"/>
              <w:rPr>
                <w:sz w:val="20"/>
                <w:szCs w:val="20"/>
                <w:color w:val="auto"/>
              </w:rPr>
            </w:pPr>
            <w:r>
              <w:rPr>
                <w:rFonts w:ascii="Arial" w:cs="Arial" w:eastAsia="Arial" w:hAnsi="Arial"/>
                <w:sz w:val="17"/>
                <w:szCs w:val="17"/>
                <w:color w:val="auto"/>
              </w:rPr>
              <w:t>Other restructuring costs (gains):</w:t>
            </w:r>
            <w:r>
              <w:rPr>
                <w:rFonts w:ascii="Arial" w:cs="Arial" w:eastAsia="Arial" w:hAnsi="Arial"/>
                <w:sz w:val="26"/>
                <w:szCs w:val="26"/>
                <w:b w:val="1"/>
                <w:bCs w:val="1"/>
                <w:color w:val="auto"/>
                <w:vertAlign w:val="superscript"/>
              </w:rPr>
              <w:t>1</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Termination benefits, relocation, and other restructuring costs</w:t>
            </w:r>
          </w:p>
        </w:tc>
        <w:tc>
          <w:tcPr>
            <w:tcW w:w="222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Other (income) expense,</w:t>
            </w: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6"/>
        </w:trPr>
        <w:tc>
          <w:tcPr>
            <w:tcW w:w="556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net</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560" w:type="dxa"/>
            <w:vAlign w:val="bottom"/>
          </w:tcPr>
          <w:p>
            <w:pPr>
              <w:ind w:left="20"/>
              <w:spacing w:after="0"/>
              <w:rPr>
                <w:sz w:val="20"/>
                <w:szCs w:val="20"/>
                <w:color w:val="auto"/>
              </w:rPr>
            </w:pPr>
            <w:r>
              <w:rPr>
                <w:rFonts w:ascii="Arial" w:cs="Arial" w:eastAsia="Arial" w:hAnsi="Arial"/>
                <w:sz w:val="18"/>
                <w:szCs w:val="18"/>
                <w:color w:val="auto"/>
              </w:rPr>
              <w:t>Other restructuring-related (gains) costs:</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obsolescence and other</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Cost of goods sold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Professional services and other</w:t>
            </w:r>
          </w:p>
        </w:tc>
        <w:tc>
          <w:tcPr>
            <w:tcW w:w="2220" w:type="dxa"/>
            <w:vAlign w:val="bottom"/>
          </w:tcPr>
          <w:p>
            <w:pPr>
              <w:jc w:val="center"/>
              <w:spacing w:after="0" w:line="175" w:lineRule="exact"/>
              <w:rPr>
                <w:sz w:val="20"/>
                <w:szCs w:val="20"/>
                <w:color w:val="auto"/>
              </w:rPr>
            </w:pPr>
            <w:r>
              <w:rPr>
                <w:rFonts w:ascii="Arial" w:cs="Arial" w:eastAsia="Arial" w:hAnsi="Arial"/>
                <w:sz w:val="18"/>
                <w:szCs w:val="18"/>
                <w:color w:val="auto"/>
                <w:w w:val="98"/>
              </w:rPr>
              <w:t>Selling and</w:t>
            </w:r>
          </w:p>
        </w:tc>
        <w:tc>
          <w:tcPr>
            <w:tcW w:w="320" w:type="dxa"/>
            <w:vAlign w:val="bottom"/>
          </w:tcPr>
          <w:p>
            <w:pPr>
              <w:spacing w:after="0"/>
              <w:rPr>
                <w:sz w:val="15"/>
                <w:szCs w:val="15"/>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1"/>
        </w:trPr>
        <w:tc>
          <w:tcPr>
            <w:tcW w:w="5560" w:type="dxa"/>
            <w:vAlign w:val="bottom"/>
            <w:vMerge w:val="continue"/>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administrative expenses</w:t>
            </w: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6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Net (gain) loss on disposal of assets and businesses</w:t>
            </w:r>
          </w:p>
        </w:tc>
        <w:tc>
          <w:tcPr>
            <w:tcW w:w="222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9"/>
              </w:rPr>
              <w:t>Net gain on disposal of</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5560" w:type="dxa"/>
            <w:vAlign w:val="bottom"/>
            <w:vMerge w:val="continue"/>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assets and businesses</w:t>
            </w: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560" w:type="dxa"/>
            <w:vAlign w:val="bottom"/>
          </w:tcPr>
          <w:p>
            <w:pPr>
              <w:spacing w:after="0"/>
              <w:rPr>
                <w:sz w:val="15"/>
                <w:szCs w:val="15"/>
                <w:color w:val="auto"/>
              </w:rPr>
            </w:pPr>
          </w:p>
        </w:tc>
        <w:tc>
          <w:tcPr>
            <w:tcW w:w="2220" w:type="dxa"/>
            <w:vAlign w:val="bottom"/>
          </w:tcPr>
          <w:p>
            <w:pPr>
              <w:jc w:val="center"/>
              <w:spacing w:after="0" w:line="175" w:lineRule="exact"/>
              <w:rPr>
                <w:sz w:val="20"/>
                <w:szCs w:val="20"/>
                <w:color w:val="auto"/>
              </w:rPr>
            </w:pPr>
            <w:r>
              <w:rPr>
                <w:rFonts w:ascii="Arial" w:cs="Arial" w:eastAsia="Arial" w:hAnsi="Arial"/>
                <w:sz w:val="18"/>
                <w:szCs w:val="18"/>
                <w:color w:val="auto"/>
                <w:w w:val="99"/>
              </w:rPr>
              <w:t>Gain on sale of</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60" w:type="dxa"/>
            <w:vAlign w:val="bottom"/>
            <w:vMerge w:val="restart"/>
          </w:tcPr>
          <w:p>
            <w:pPr>
              <w:ind w:left="440"/>
              <w:spacing w:after="0"/>
              <w:rPr>
                <w:sz w:val="20"/>
                <w:szCs w:val="20"/>
                <w:color w:val="auto"/>
              </w:rPr>
            </w:pPr>
            <w:r>
              <w:rPr>
                <w:rFonts w:ascii="Arial" w:cs="Arial" w:eastAsia="Arial" w:hAnsi="Arial"/>
                <w:sz w:val="18"/>
                <w:szCs w:val="18"/>
                <w:color w:val="auto"/>
              </w:rPr>
              <w:t>Gain on sale of Aerospace Products Group</w:t>
            </w:r>
          </w:p>
        </w:tc>
        <w:tc>
          <w:tcPr>
            <w:tcW w:w="2220" w:type="dxa"/>
            <w:vAlign w:val="bottom"/>
          </w:tcPr>
          <w:p>
            <w:pPr>
              <w:jc w:val="center"/>
              <w:spacing w:after="0" w:line="182" w:lineRule="exact"/>
              <w:rPr>
                <w:sz w:val="20"/>
                <w:szCs w:val="20"/>
                <w:color w:val="auto"/>
              </w:rPr>
            </w:pPr>
            <w:r>
              <w:rPr>
                <w:rFonts w:ascii="Arial" w:cs="Arial" w:eastAsia="Arial" w:hAnsi="Arial"/>
                <w:sz w:val="18"/>
                <w:szCs w:val="18"/>
                <w:color w:val="auto"/>
                <w:w w:val="99"/>
              </w:rPr>
              <w:t>Aerospace Products</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5560" w:type="dxa"/>
            <w:vAlign w:val="bottom"/>
            <w:tcBorders>
              <w:bottom w:val="single" w:sz="8" w:color="CCEEFF"/>
            </w:tcBorders>
            <w:vMerge w:val="continue"/>
          </w:tcPr>
          <w:p>
            <w:pPr>
              <w:spacing w:after="0"/>
              <w:rPr>
                <w:sz w:val="20"/>
                <w:szCs w:val="20"/>
                <w:color w:val="auto"/>
              </w:rPr>
            </w:pP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Group</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restructuring-related (gains) costs</w:t>
            </w:r>
          </w:p>
        </w:tc>
        <w:tc>
          <w:tcPr>
            <w:tcW w:w="2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1"/>
        </w:trPr>
        <w:tc>
          <w:tcPr>
            <w:tcW w:w="5560" w:type="dxa"/>
            <w:vAlign w:val="bottom"/>
          </w:tcPr>
          <w:p>
            <w:pPr>
              <w:ind w:left="220"/>
              <w:spacing w:after="0"/>
              <w:rPr>
                <w:sz w:val="20"/>
                <w:szCs w:val="20"/>
                <w:color w:val="auto"/>
              </w:rPr>
            </w:pPr>
            <w:r>
              <w:rPr>
                <w:rFonts w:ascii="Arial" w:cs="Arial" w:eastAsia="Arial" w:hAnsi="Arial"/>
                <w:sz w:val="18"/>
                <w:szCs w:val="18"/>
                <w:color w:val="auto"/>
              </w:rPr>
              <w:t>Total other net restructuring and restructuring-related (gains) costs</w:t>
            </w:r>
          </w:p>
        </w:tc>
        <w:tc>
          <w:tcPr>
            <w:tcW w:w="22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820" w:right="800" w:hanging="169"/>
        <w:spacing w:after="0" w:line="204" w:lineRule="auto"/>
        <w:tabs>
          <w:tab w:leader="none" w:pos="775" w:val="left"/>
        </w:tabs>
        <w:numPr>
          <w:ilvl w:val="0"/>
          <w:numId w:val="66"/>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This includes cash charges for divestiture-related expenses associated with the sale of our Aerospace Products Group,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Costs were $2.2 and $2.7 in the years ended December 31, 2025 and 2024, respectively.</w:t>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Net restructuring and restructuring-related 2024 Plan costs by segment were as follows:</w:t>
      </w:r>
    </w:p>
    <w:p>
      <w:pPr>
        <w:spacing w:after="0" w:line="57" w:lineRule="exact"/>
        <w:rPr>
          <w:sz w:val="20"/>
          <w:szCs w:val="20"/>
          <w:color w:val="auto"/>
        </w:rPr>
      </w:pPr>
    </w:p>
    <w:tbl>
      <w:tblPr>
        <w:tblLayout w:type="fixed"/>
        <w:tblInd w:w="196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r>
      <w:tr>
        <w:trPr>
          <w:trHeight w:val="202"/>
        </w:trPr>
        <w:tc>
          <w:tcPr>
            <w:tcW w:w="47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r>
      <w:tr>
        <w:trPr>
          <w:trHeight w:val="222"/>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Bedding Products</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33.9</w:t>
            </w:r>
          </w:p>
        </w:tc>
      </w:tr>
      <w:tr>
        <w:trPr>
          <w:trHeight w:val="228"/>
        </w:trPr>
        <w:tc>
          <w:tcPr>
            <w:tcW w:w="4700" w:type="dxa"/>
            <w:vAlign w:val="bottom"/>
          </w:tcPr>
          <w:p>
            <w:pPr>
              <w:spacing w:after="0"/>
              <w:rPr>
                <w:sz w:val="20"/>
                <w:szCs w:val="20"/>
                <w:color w:val="auto"/>
              </w:rPr>
            </w:pPr>
            <w:r>
              <w:rPr>
                <w:rFonts w:ascii="Arial" w:cs="Arial" w:eastAsia="Arial" w:hAnsi="Arial"/>
                <w:sz w:val="18"/>
                <w:szCs w:val="18"/>
                <w:color w:val="auto"/>
              </w:rPr>
              <w:t>Specialized Products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Furniture, Flooring &amp; Textile Products</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1"/>
        </w:trPr>
        <w:tc>
          <w:tcPr>
            <w:tcW w:w="470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70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43.6</w:t>
            </w:r>
          </w:p>
        </w:tc>
      </w:tr>
      <w:tr>
        <w:trPr>
          <w:trHeight w:val="20"/>
        </w:trPr>
        <w:tc>
          <w:tcPr>
            <w:tcW w:w="4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300" w:firstLine="402"/>
        <w:spacing w:after="0" w:line="282" w:lineRule="auto"/>
        <w:rPr>
          <w:sz w:val="20"/>
          <w:szCs w:val="20"/>
          <w:color w:val="auto"/>
        </w:rPr>
      </w:pPr>
      <w:r>
        <w:rPr>
          <w:rFonts w:ascii="Arial" w:cs="Arial" w:eastAsia="Arial" w:hAnsi="Arial"/>
          <w:sz w:val="18"/>
          <w:szCs w:val="18"/>
          <w:color w:val="auto"/>
        </w:rPr>
        <w:t>We recognized gains from the sale of real estate associated with the 2024 Plan of $24.3 and $16.6 in the years ended December 31, 2025 and December 31, 2024, respectively. These gains are not reflected in the tables above.</w:t>
      </w:r>
    </w:p>
    <w:p>
      <w:pPr>
        <w:spacing w:after="0" w:line="23" w:lineRule="exact"/>
        <w:rPr>
          <w:sz w:val="20"/>
          <w:szCs w:val="20"/>
          <w:color w:val="auto"/>
        </w:rPr>
      </w:pPr>
    </w:p>
    <w:p>
      <w:pPr>
        <w:ind w:right="200" w:firstLine="402"/>
        <w:spacing w:after="0" w:line="282" w:lineRule="auto"/>
        <w:rPr>
          <w:sz w:val="20"/>
          <w:szCs w:val="20"/>
          <w:color w:val="auto"/>
        </w:rPr>
      </w:pPr>
      <w:r>
        <w:rPr>
          <w:rFonts w:ascii="Arial" w:cs="Arial" w:eastAsia="Arial" w:hAnsi="Arial"/>
          <w:sz w:val="18"/>
          <w:szCs w:val="18"/>
          <w:color w:val="auto"/>
        </w:rPr>
        <w:t>Accrued liabilities associated with our total restructuring initiatives were $1.7 and $1.0 at December 31, 2025 and December 31, 2024, respectively.</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2026 Restructuring Plan</w:t>
      </w:r>
    </w:p>
    <w:p>
      <w:pPr>
        <w:spacing w:after="0" w:line="99" w:lineRule="exact"/>
        <w:rPr>
          <w:sz w:val="20"/>
          <w:szCs w:val="20"/>
          <w:color w:val="auto"/>
        </w:rPr>
      </w:pPr>
    </w:p>
    <w:p>
      <w:pPr>
        <w:ind w:right="140" w:firstLine="402"/>
        <w:spacing w:after="0" w:line="253" w:lineRule="auto"/>
        <w:rPr>
          <w:sz w:val="20"/>
          <w:szCs w:val="20"/>
          <w:color w:val="auto"/>
        </w:rPr>
      </w:pPr>
      <w:r>
        <w:rPr>
          <w:rFonts w:ascii="Arial" w:cs="Arial" w:eastAsia="Arial" w:hAnsi="Arial"/>
          <w:sz w:val="18"/>
          <w:szCs w:val="18"/>
          <w:color w:val="auto"/>
        </w:rPr>
        <w:t xml:space="preserve">On February 24, 2026, we committed to a smaller restructuring plan to consolidate two manufacturing facilities in our Specialty Foam business unit in our Bedding Products segment and one manufacturing facility within our Furniture, Flooring &amp; Textile Products segment into other existing facilities (2026 Restructuring Plan). These actions are expected to improve our manufacturing efficiency and enhance profitability and are anticipated to be substantially complete by the end of 2026. We expect to incur restructuring and restructuring-related pretax costs of approximately </w:t>
      </w:r>
      <w:r>
        <w:rPr>
          <w:rFonts w:ascii="Arial" w:cs="Arial" w:eastAsia="Arial" w:hAnsi="Arial"/>
          <w:sz w:val="18"/>
          <w:szCs w:val="18"/>
          <w:color w:val="212529"/>
        </w:rPr>
        <w:t>$15</w:t>
      </w:r>
      <w:r>
        <w:rPr>
          <w:rFonts w:ascii="Arial" w:cs="Arial" w:eastAsia="Arial" w:hAnsi="Arial"/>
          <w:sz w:val="18"/>
          <w:szCs w:val="18"/>
          <w:color w:val="auto"/>
        </w:rPr>
        <w:t xml:space="preserve">. Approximately </w:t>
      </w:r>
      <w:r>
        <w:rPr>
          <w:rFonts w:ascii="Arial" w:cs="Arial" w:eastAsia="Arial" w:hAnsi="Arial"/>
          <w:sz w:val="18"/>
          <w:szCs w:val="18"/>
          <w:color w:val="212529"/>
        </w:rPr>
        <w:t>$10</w:t>
      </w:r>
      <w:r>
        <w:rPr>
          <w:rFonts w:ascii="Arial" w:cs="Arial" w:eastAsia="Arial" w:hAnsi="Arial"/>
          <w:sz w:val="18"/>
          <w:szCs w:val="18"/>
          <w:color w:val="auto"/>
        </w:rPr>
        <w:t xml:space="preserve"> of these costs are cash charges, most of which are from facility closure and asset relocation costs and, to a lesser extent, employee termination costs. We expect to incur approximately </w:t>
      </w:r>
      <w:r>
        <w:rPr>
          <w:rFonts w:ascii="Arial" w:cs="Arial" w:eastAsia="Arial" w:hAnsi="Arial"/>
          <w:sz w:val="18"/>
          <w:szCs w:val="18"/>
          <w:color w:val="212529"/>
        </w:rPr>
        <w:t>$5</w:t>
      </w:r>
      <w:r>
        <w:rPr>
          <w:rFonts w:ascii="Arial" w:cs="Arial" w:eastAsia="Arial" w:hAnsi="Arial"/>
          <w:sz w:val="18"/>
          <w:szCs w:val="18"/>
          <w:color w:val="auto"/>
        </w:rPr>
        <w:t xml:space="preserve"> of non-cash charges, a majority of which is related to accelerated depreciation of property, plant and equipment and, to a lesser extent, an operating lease right-of-use asset impairment.</w:t>
      </w:r>
    </w:p>
    <w:p>
      <w:pPr>
        <w:spacing w:after="0" w:line="51" w:lineRule="exact"/>
        <w:rPr>
          <w:sz w:val="20"/>
          <w:szCs w:val="20"/>
          <w:color w:val="auto"/>
        </w:rPr>
      </w:pPr>
    </w:p>
    <w:p>
      <w:pPr>
        <w:ind w:firstLine="402"/>
        <w:spacing w:after="0" w:line="282" w:lineRule="auto"/>
        <w:rPr>
          <w:sz w:val="20"/>
          <w:szCs w:val="20"/>
          <w:color w:val="auto"/>
        </w:rPr>
      </w:pPr>
      <w:r>
        <w:rPr>
          <w:rFonts w:ascii="Arial" w:cs="Arial" w:eastAsia="Arial" w:hAnsi="Arial"/>
          <w:sz w:val="18"/>
          <w:szCs w:val="18"/>
          <w:color w:val="auto"/>
        </w:rPr>
        <w:t>We are continuing to evaluate opportunities to improve our cost structure and profitability across our businesses. The execution of any of these opportunities may result in additional restructuring costs, restructuring-related costs, or impairments.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F—Impairment Charges</w:t>
      </w:r>
    </w:p>
    <w:p>
      <w:pPr>
        <w:spacing w:after="0" w:line="88" w:lineRule="exact"/>
        <w:rPr>
          <w:sz w:val="20"/>
          <w:szCs w:val="20"/>
          <w:color w:val="auto"/>
        </w:rPr>
      </w:pPr>
    </w:p>
    <w:p>
      <w:pPr>
        <w:ind w:right="180" w:firstLine="402"/>
        <w:spacing w:after="0" w:line="277" w:lineRule="auto"/>
        <w:rPr>
          <w:sz w:val="20"/>
          <w:szCs w:val="20"/>
          <w:color w:val="auto"/>
        </w:rPr>
      </w:pPr>
      <w:r>
        <w:rPr>
          <w:rFonts w:ascii="Arial" w:cs="Arial" w:eastAsia="Arial" w:hAnsi="Arial"/>
          <w:sz w:val="18"/>
          <w:szCs w:val="18"/>
          <w:color w:val="auto"/>
        </w:rPr>
        <w:t>Pretax impairment charges are reported in “Goodwill impairment” and “Long-lived asset impairment” in the Consolidated Statements of Operations and summarized in the table below.</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Bedding Products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Specialized Products</w:t>
      </w:r>
    </w:p>
    <w:p>
      <w:pPr>
        <w:spacing w:after="0" w:line="29" w:lineRule="exact"/>
        <w:rPr>
          <w:sz w:val="20"/>
          <w:szCs w:val="20"/>
          <w:color w:val="auto"/>
        </w:rPr>
      </w:pPr>
    </w:p>
    <w:p>
      <w:pPr>
        <w:ind w:left="20" w:right="40"/>
        <w:spacing w:after="0" w:line="288" w:lineRule="auto"/>
        <w:rPr>
          <w:sz w:val="20"/>
          <w:szCs w:val="20"/>
          <w:color w:val="auto"/>
        </w:rPr>
      </w:pPr>
      <w:r>
        <w:rPr>
          <w:rFonts w:ascii="Arial" w:cs="Arial" w:eastAsia="Arial" w:hAnsi="Arial"/>
          <w:sz w:val="18"/>
          <w:szCs w:val="18"/>
          <w:color w:val="auto"/>
        </w:rPr>
        <w:t>Furniture, Flooring &amp; Textile Products Total impairment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3180" w:type="dxa"/>
            <w:vAlign w:val="bottom"/>
            <w:gridSpan w:val="6"/>
            <w:vMerge w:val="restart"/>
          </w:tcPr>
          <w:p>
            <w:pPr>
              <w:jc w:val="right"/>
              <w:ind w:right="157"/>
              <w:spacing w:after="0"/>
              <w:rPr>
                <w:sz w:val="20"/>
                <w:szCs w:val="20"/>
                <w:color w:val="auto"/>
              </w:rPr>
            </w:pPr>
            <w:r>
              <w:rPr>
                <w:rFonts w:ascii="Arial" w:cs="Arial" w:eastAsia="Arial" w:hAnsi="Arial"/>
                <w:sz w:val="14"/>
                <w:szCs w:val="14"/>
                <w:b w:val="1"/>
                <w:bCs w:val="1"/>
                <w:color w:val="auto"/>
              </w:rPr>
              <w:t>Year Ended December 31, 2024</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5"/>
        </w:trPr>
        <w:tc>
          <w:tcPr>
            <w:tcW w:w="14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Other Long-Lived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Goodwill</w:t>
            </w:r>
          </w:p>
        </w:tc>
        <w:tc>
          <w:tcPr>
            <w:tcW w:w="1460" w:type="dxa"/>
            <w:vAlign w:val="bottom"/>
            <w:gridSpan w:val="3"/>
          </w:tcPr>
          <w:p>
            <w:pPr>
              <w:ind w:left="100"/>
              <w:spacing w:after="0" w:line="145" w:lineRule="exact"/>
              <w:rPr>
                <w:sz w:val="20"/>
                <w:szCs w:val="20"/>
                <w:color w:val="auto"/>
              </w:rPr>
            </w:pPr>
            <w:r>
              <w:rPr>
                <w:rFonts w:ascii="Arial" w:cs="Arial" w:eastAsia="Arial" w:hAnsi="Arial"/>
                <w:sz w:val="14"/>
                <w:szCs w:val="14"/>
                <w:b w:val="1"/>
                <w:bCs w:val="1"/>
                <w:color w:val="auto"/>
              </w:rPr>
              <w:t>Other Long-Lived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Impairments</w:t>
            </w:r>
          </w:p>
        </w:tc>
        <w:tc>
          <w:tcPr>
            <w:tcW w:w="13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Other Long-Lived</w:t>
            </w:r>
          </w:p>
        </w:tc>
        <w:tc>
          <w:tcPr>
            <w:tcW w:w="0" w:type="dxa"/>
            <w:vAlign w:val="bottom"/>
          </w:tcPr>
          <w:p>
            <w:pPr>
              <w:spacing w:after="0"/>
              <w:rPr>
                <w:sz w:val="1"/>
                <w:szCs w:val="1"/>
                <w:color w:val="auto"/>
              </w:rPr>
            </w:pPr>
          </w:p>
        </w:tc>
      </w:tr>
      <w:tr>
        <w:trPr>
          <w:trHeight w:val="184"/>
        </w:trPr>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Impairment</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Impairment</w:t>
            </w:r>
          </w:p>
        </w:tc>
        <w:tc>
          <w:tcPr>
            <w:tcW w:w="1480" w:type="dxa"/>
            <w:vAlign w:val="bottom"/>
            <w:gridSpan w:val="3"/>
            <w:vMerge w:val="continue"/>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 Impairment</w:t>
            </w:r>
          </w:p>
        </w:tc>
        <w:tc>
          <w:tcPr>
            <w:tcW w:w="0" w:type="dxa"/>
            <w:vAlign w:val="bottom"/>
          </w:tcPr>
          <w:p>
            <w:pPr>
              <w:spacing w:after="0"/>
              <w:rPr>
                <w:sz w:val="1"/>
                <w:szCs w:val="1"/>
                <w:color w:val="auto"/>
              </w:rPr>
            </w:pPr>
          </w:p>
        </w:tc>
      </w:tr>
      <w:tr>
        <w:trPr>
          <w:trHeight w:val="216"/>
        </w:trPr>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7"/>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-629285</wp:posOffset>
            </wp:positionV>
            <wp:extent cx="6801485" cy="153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01485" cy="153035"/>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-331470</wp:posOffset>
            </wp:positionV>
            <wp:extent cx="6801485"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01485" cy="144780"/>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3000" w:space="720"/>
            <w:col w:w="7480"/>
          </w:cols>
          <w:pgMar w:left="320" w:top="125" w:right="379" w:bottom="1440" w:gutter="0" w:footer="0" w:header="0"/>
          <w:type w:val="continuous"/>
        </w:sectPr>
      </w:pPr>
    </w:p>
    <w:p>
      <w:pPr>
        <w:ind w:right="40" w:firstLine="402"/>
        <w:spacing w:after="0" w:line="278" w:lineRule="auto"/>
        <w:rPr>
          <w:sz w:val="20"/>
          <w:szCs w:val="20"/>
          <w:color w:val="auto"/>
        </w:rPr>
      </w:pPr>
      <w:r>
        <w:rPr>
          <w:rFonts w:ascii="Arial" w:cs="Arial" w:eastAsia="Arial" w:hAnsi="Arial"/>
          <w:sz w:val="17"/>
          <w:szCs w:val="17"/>
          <w:color w:val="auto"/>
        </w:rPr>
        <w:t>Our second quarter annual 2025 goodwill testing did not indicate any impairments. There have been no triggering events since our 2025 testing. The fair values of our reporting units in relation to their respective carrying values and significant assumptions used are presented in the tables below. If actual results differ materially from estimates used in our calculations, we could incur future impairment charges. These tables exclude Hydraulic Cylinders, as this unit had no goodwill remaining after the second quarter 2024 impairment of $43.6.</w:t>
      </w:r>
    </w:p>
    <w:p>
      <w:pPr>
        <w:spacing w:after="0" w:line="2"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2025</w:t>
      </w:r>
    </w:p>
    <w:p>
      <w:pPr>
        <w:spacing w:after="0" w:line="34" w:lineRule="exact"/>
        <w:rPr>
          <w:sz w:val="20"/>
          <w:szCs w:val="20"/>
          <w:color w:val="auto"/>
        </w:rPr>
      </w:pPr>
    </w:p>
    <w:tbl>
      <w:tblPr>
        <w:tblLayout w:type="fixed"/>
        <w:tblInd w:w="5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rPr>
              <w:t>Compound</w:t>
            </w:r>
          </w:p>
        </w:tc>
        <w:tc>
          <w:tcPr>
            <w:tcW w:w="2100" w:type="dxa"/>
            <w:vAlign w:val="bottom"/>
            <w:tcBorders>
              <w:top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Terminal Values Long-term</w:t>
            </w:r>
          </w:p>
        </w:tc>
        <w:tc>
          <w:tcPr>
            <w:tcW w:w="1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over Carrying Value divided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2025</w:t>
            </w:r>
          </w:p>
        </w:tc>
        <w:tc>
          <w:tcPr>
            <w:tcW w:w="80" w:type="dxa"/>
            <w:vAlign w:val="bottom"/>
          </w:tcPr>
          <w:p>
            <w:pPr>
              <w:spacing w:after="0"/>
              <w:rPr>
                <w:sz w:val="12"/>
                <w:szCs w:val="12"/>
                <w:color w:val="auto"/>
              </w:rPr>
            </w:pPr>
          </w:p>
        </w:tc>
        <w:tc>
          <w:tcPr>
            <w:tcW w:w="190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rPr>
              <w:t>Annual Growth Rate</w:t>
            </w:r>
          </w:p>
        </w:tc>
        <w:tc>
          <w:tcPr>
            <w:tcW w:w="2100" w:type="dxa"/>
            <w:vAlign w:val="bottom"/>
            <w:gridSpan w:val="5"/>
            <w:vMerge w:val="continue"/>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rPr>
              <w:t>(CAGR)</w:t>
            </w:r>
          </w:p>
        </w:tc>
        <w:tc>
          <w:tcPr>
            <w:tcW w:w="2100" w:type="dxa"/>
            <w:vAlign w:val="bottom"/>
            <w:gridSpan w:val="5"/>
          </w:tcPr>
          <w:p>
            <w:pPr>
              <w:ind w:left="80"/>
              <w:spacing w:after="0" w:line="143" w:lineRule="exact"/>
              <w:rPr>
                <w:sz w:val="20"/>
                <w:szCs w:val="20"/>
                <w:color w:val="auto"/>
              </w:rPr>
            </w:pPr>
            <w:r>
              <w:rPr>
                <w:rFonts w:ascii="Arial" w:cs="Arial" w:eastAsia="Arial" w:hAnsi="Arial"/>
                <w:sz w:val="14"/>
                <w:szCs w:val="14"/>
                <w:b w:val="1"/>
                <w:bCs w:val="1"/>
                <w:color w:val="auto"/>
              </w:rPr>
              <w:t>Growth Rate for Debt-Free</w:t>
            </w:r>
          </w:p>
        </w:tc>
        <w:tc>
          <w:tcPr>
            <w:tcW w:w="1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Discount Rate Ranges</w:t>
            </w:r>
          </w:p>
        </w:tc>
        <w:tc>
          <w:tcPr>
            <w:tcW w:w="0" w:type="dxa"/>
            <w:vAlign w:val="bottom"/>
          </w:tcPr>
          <w:p>
            <w:pPr>
              <w:spacing w:after="0"/>
              <w:rPr>
                <w:sz w:val="1"/>
                <w:szCs w:val="1"/>
                <w:color w:val="auto"/>
              </w:rPr>
            </w:pPr>
          </w:p>
        </w:tc>
      </w:tr>
      <w:tr>
        <w:trPr>
          <w:trHeight w:val="188"/>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by Carrying 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Goodwill Value</w:t>
            </w:r>
          </w:p>
        </w:tc>
        <w:tc>
          <w:tcPr>
            <w:tcW w:w="80" w:type="dxa"/>
            <w:vAlign w:val="bottom"/>
          </w:tcPr>
          <w:p>
            <w:pPr>
              <w:spacing w:after="0"/>
              <w:rPr>
                <w:sz w:val="16"/>
                <w:szCs w:val="16"/>
                <w:color w:val="auto"/>
              </w:rPr>
            </w:pPr>
          </w:p>
        </w:tc>
        <w:tc>
          <w:tcPr>
            <w:tcW w:w="1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Range for Sales</w:t>
            </w:r>
          </w:p>
        </w:tc>
        <w:tc>
          <w:tcPr>
            <w:tcW w:w="1600" w:type="dxa"/>
            <w:vAlign w:val="bottom"/>
          </w:tcPr>
          <w:p>
            <w:pPr>
              <w:ind w:left="600"/>
              <w:spacing w:after="0"/>
              <w:rPr>
                <w:sz w:val="20"/>
                <w:szCs w:val="20"/>
                <w:color w:val="auto"/>
              </w:rPr>
            </w:pPr>
            <w:r>
              <w:rPr>
                <w:rFonts w:ascii="Arial" w:cs="Arial" w:eastAsia="Arial" w:hAnsi="Arial"/>
                <w:sz w:val="14"/>
                <w:szCs w:val="14"/>
                <w:b w:val="1"/>
                <w:bCs w:val="1"/>
                <w:color w:val="auto"/>
              </w:rPr>
              <w:t>Cash Flow</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00" w:type="dxa"/>
            <w:vAlign w:val="bottom"/>
            <w:tcBorders>
              <w:top w:val="single" w:sz="8" w:color="auto"/>
            </w:tcBorders>
            <w:gridSpan w:val="2"/>
          </w:tcPr>
          <w:p>
            <w:pPr>
              <w:spacing w:after="0" w:line="221" w:lineRule="exact"/>
              <w:rPr>
                <w:sz w:val="20"/>
                <w:szCs w:val="20"/>
                <w:color w:val="auto"/>
              </w:rPr>
            </w:pPr>
            <w:r>
              <w:rPr>
                <w:rFonts w:ascii="Arial" w:cs="Arial" w:eastAsia="Arial" w:hAnsi="Arial"/>
                <w:sz w:val="17"/>
                <w:szCs w:val="17"/>
                <w:b w:val="1"/>
                <w:bCs w:val="1"/>
                <w:color w:val="auto"/>
              </w:rPr>
              <w:t>Less than 50%</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&lt;1 - 4%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15% - 17%</w:t>
            </w:r>
          </w:p>
        </w:tc>
        <w:tc>
          <w:tcPr>
            <w:tcW w:w="0" w:type="dxa"/>
            <w:vAlign w:val="bottom"/>
          </w:tcPr>
          <w:p>
            <w:pPr>
              <w:spacing w:after="0"/>
              <w:rPr>
                <w:sz w:val="1"/>
                <w:szCs w:val="1"/>
                <w:color w:val="auto"/>
              </w:rPr>
            </w:pPr>
          </w:p>
        </w:tc>
      </w:tr>
      <w:tr>
        <w:trPr>
          <w:trHeight w:val="228"/>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 - 4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15 -17</w:t>
            </w: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 - 4%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15% - 17%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54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92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over Carrying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December 31, 2024</w:t>
            </w: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line="142" w:lineRule="exact"/>
              <w:rPr>
                <w:sz w:val="20"/>
                <w:szCs w:val="20"/>
                <w:color w:val="auto"/>
              </w:rPr>
            </w:pPr>
            <w:r>
              <w:rPr>
                <w:rFonts w:ascii="Arial" w:cs="Arial" w:eastAsia="Arial" w:hAnsi="Arial"/>
                <w:sz w:val="14"/>
                <w:szCs w:val="14"/>
                <w:b w:val="1"/>
                <w:bCs w:val="1"/>
                <w:color w:val="auto"/>
              </w:rPr>
              <w:t>Terminal Values Long-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rPr>
              <w:t>CAGR Range for Sales</w:t>
            </w:r>
          </w:p>
        </w:tc>
        <w:tc>
          <w:tcPr>
            <w:tcW w:w="16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term Growth Rate for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Discount Rate Ranges</w:t>
            </w: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divided by Carrying 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Goodwill Value</w:t>
            </w:r>
          </w:p>
        </w:tc>
        <w:tc>
          <w:tcPr>
            <w:tcW w:w="8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Debt-Free Cash Flow</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2260" w:type="dxa"/>
            <w:vAlign w:val="bottom"/>
            <w:tcBorders>
              <w:top w:val="single" w:sz="8" w:color="auto"/>
            </w:tcBorders>
            <w:gridSpan w:val="2"/>
          </w:tcPr>
          <w:p>
            <w:pPr>
              <w:ind w:left="20"/>
              <w:spacing w:after="0" w:line="221" w:lineRule="exact"/>
              <w:rPr>
                <w:sz w:val="20"/>
                <w:szCs w:val="20"/>
                <w:color w:val="auto"/>
              </w:rPr>
            </w:pPr>
            <w:r>
              <w:rPr>
                <w:rFonts w:ascii="Arial" w:cs="Arial" w:eastAsia="Arial" w:hAnsi="Arial"/>
                <w:sz w:val="17"/>
                <w:szCs w:val="17"/>
                <w:color w:val="auto"/>
              </w:rPr>
              <w:t xml:space="preserve">Less than 50% </w:t>
            </w:r>
            <w:r>
              <w:rPr>
                <w:rFonts w:ascii="Arial" w:cs="Arial" w:eastAsia="Arial" w:hAnsi="Arial"/>
                <w:sz w:val="25"/>
                <w:szCs w:val="25"/>
                <w:b w:val="1"/>
                <w:bCs w:val="1"/>
                <w:color w:val="auto"/>
                <w:vertAlign w:val="superscript"/>
              </w:rPr>
              <w:t>1</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- 12%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w w:val="92"/>
              </w:rPr>
              <w:t>3%</w:t>
            </w: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- 17%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3 - 7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- 12%</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w w:val="92"/>
              </w:rPr>
              <w:t>3%</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- 17%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left="5520" w:right="140" w:hanging="5111"/>
        <w:spacing w:after="0" w:line="739" w:lineRule="auto"/>
        <w:tabs>
          <w:tab w:leader="none" w:pos="521" w:val="left"/>
        </w:tabs>
        <w:numPr>
          <w:ilvl w:val="0"/>
          <w:numId w:val="67"/>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category includes Bedding, Home Furniture, and Work Furniture for 2025 and Bedding, Aerospace, and Work Furniture for 2024.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-370205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00" w:right="200" w:hanging="249"/>
        <w:spacing w:after="0" w:line="259" w:lineRule="auto"/>
        <w:tabs>
          <w:tab w:leader="none" w:pos="9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fair value of our Bedding reporting unit exceeded its carrying value by 20% at our second quarter 2025 testing date. The fair value of our Bedding reporting unit was less than its carrying value at our second quarter 2024 testing date, resulting in a partial goodwill impairment of $587.2. Goodwill associated with this reporting unit was $323.7 and $310.0 at December 31, 2025 and 2024, respectively.</w:t>
      </w:r>
    </w:p>
    <w:p>
      <w:pPr>
        <w:spacing w:after="0" w:line="58" w:lineRule="exact"/>
        <w:rPr>
          <w:rFonts w:ascii="Arial" w:cs="Arial" w:eastAsia="Arial" w:hAnsi="Arial"/>
          <w:sz w:val="18"/>
          <w:szCs w:val="18"/>
          <w:color w:val="auto"/>
        </w:rPr>
      </w:pPr>
    </w:p>
    <w:p>
      <w:pPr>
        <w:ind w:left="900" w:right="60" w:hanging="249"/>
        <w:spacing w:after="0" w:line="265" w:lineRule="auto"/>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We sold our Aerospace reporting unit in the third quarter of 2025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At our second quarter 2025 testing date, this unit was held for sale, and its fair value exceeded its carrying value by 48%. Goodwill associated with this reporting unit was $66.8 at December 31, 2024.</w:t>
      </w:r>
    </w:p>
    <w:p>
      <w:pPr>
        <w:spacing w:after="0" w:line="38" w:lineRule="exact"/>
        <w:rPr>
          <w:rFonts w:ascii="Arial" w:cs="Arial" w:eastAsia="Arial" w:hAnsi="Arial"/>
          <w:sz w:val="18"/>
          <w:szCs w:val="18"/>
          <w:color w:val="auto"/>
        </w:rPr>
      </w:pPr>
    </w:p>
    <w:p>
      <w:pPr>
        <w:ind w:left="900" w:right="260" w:hanging="249"/>
        <w:spacing w:after="0" w:line="282" w:lineRule="auto"/>
        <w:tabs>
          <w:tab w:leader="none" w:pos="9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fair value of our Home Furniture reporting unit exceeded its carrying value by 34% at our second quarter 2025 testing date. Goodwill associated with this reporting unit was $68.4 and $67.7 at December 31, 2025 and 2024, respectively.</w:t>
      </w:r>
    </w:p>
    <w:p>
      <w:pPr>
        <w:spacing w:after="0" w:line="36" w:lineRule="exact"/>
        <w:rPr>
          <w:rFonts w:ascii="Arial" w:cs="Arial" w:eastAsia="Arial" w:hAnsi="Arial"/>
          <w:sz w:val="18"/>
          <w:szCs w:val="18"/>
          <w:color w:val="auto"/>
        </w:rPr>
      </w:pPr>
    </w:p>
    <w:p>
      <w:pPr>
        <w:ind w:left="900" w:right="320" w:hanging="249"/>
        <w:spacing w:after="0" w:line="259" w:lineRule="auto"/>
        <w:tabs>
          <w:tab w:leader="none" w:pos="9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fair value of our Work Furniture reporting unit exceeded its carrying value by 29% at our second quarter 2025 testing date. The fair value of our Work Furniture reporting unit was less than its carrying value at our second quarter 2024 testing date, resulting in a partial goodwill impairment of $44.5. Goodwill associated with this reporting unit was $55.0 and $53.6 at December 31, 2025 and 2024, respectively.</w:t>
      </w:r>
    </w:p>
    <w:p>
      <w:pPr>
        <w:spacing w:after="0" w:line="58" w:lineRule="exact"/>
        <w:rPr>
          <w:sz w:val="20"/>
          <w:szCs w:val="20"/>
          <w:color w:val="auto"/>
        </w:rPr>
      </w:pPr>
    </w:p>
    <w:p>
      <w:pPr>
        <w:ind w:right="80" w:firstLine="402"/>
        <w:spacing w:after="0" w:line="255" w:lineRule="auto"/>
        <w:rPr>
          <w:sz w:val="20"/>
          <w:szCs w:val="20"/>
          <w:color w:val="auto"/>
        </w:rPr>
      </w:pPr>
      <w:r>
        <w:rPr>
          <w:rFonts w:ascii="Arial" w:cs="Arial" w:eastAsia="Arial" w:hAnsi="Arial"/>
          <w:sz w:val="18"/>
          <w:szCs w:val="18"/>
          <w:color w:val="auto"/>
        </w:rPr>
        <w:t xml:space="preserve">The 2024 annual goodwill impairment testing resulted in a $675.3 non-cash goodwill impairment charge. In general, the fair values for our reporting units as discussed above decreased versus 2023 due to macroeconomic pressures, including low demand, particularly in residential end markets. The fair values of our reporting units were reconciled to our consolidated market capitalization, which decreased due to the significant decline in stock price during the second quarter of 2024. Also, we recorded a $.7 non-cash goodwill impairment charge related to a small U.S. machinery business within the Bedding Products segment that reached held-for-sale status in the fourth quarter of 2024 and was sold in the first quarter of 2025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There were no goodwill impairments for 2023.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Long-Lived Assets</w:t>
      </w:r>
    </w:p>
    <w:p>
      <w:pPr>
        <w:spacing w:after="0" w:line="99" w:lineRule="exact"/>
        <w:rPr>
          <w:sz w:val="20"/>
          <w:szCs w:val="20"/>
          <w:color w:val="auto"/>
        </w:rPr>
      </w:pPr>
    </w:p>
    <w:p>
      <w:pPr>
        <w:ind w:right="100" w:firstLine="402"/>
        <w:spacing w:after="0" w:line="282"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A</w:t>
      </w:r>
      <w:r>
        <w:rPr>
          <w:rFonts w:ascii="Arial" w:cs="Arial" w:eastAsia="Arial" w:hAnsi="Arial"/>
          <w:sz w:val="18"/>
          <w:szCs w:val="18"/>
          <w:color w:val="auto"/>
        </w:rPr>
        <w:t>, we test other long-lived assets for recoverability at year end and whenever events or changes in circumstances indicate that the carrying value may not be recoverable.</w:t>
      </w:r>
    </w:p>
    <w:p>
      <w:pPr>
        <w:spacing w:after="0" w:line="36" w:lineRule="exact"/>
        <w:rPr>
          <w:sz w:val="20"/>
          <w:szCs w:val="20"/>
          <w:color w:val="auto"/>
        </w:rPr>
      </w:pPr>
    </w:p>
    <w:p>
      <w:pPr>
        <w:ind w:right="800" w:firstLine="402"/>
        <w:spacing w:after="0" w:line="312"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u w:val="single" w:color="auto"/>
          <w:color w:val="0000FF"/>
        </w:rPr>
        <w:t>Note E</w:t>
      </w:r>
      <w:r>
        <w:rPr>
          <w:rFonts w:ascii="Arial" w:cs="Arial" w:eastAsia="Arial" w:hAnsi="Arial"/>
          <w:sz w:val="17"/>
          <w:szCs w:val="17"/>
          <w:color w:val="auto"/>
        </w:rPr>
        <w:t>, impairment charges of $19.0 in 2025 were related to the 2024 Plan and were primarily related to lease impairments. We had $6.3 of long-lived asset impairment charges in 2024, of which $3.5 were associated with the 2024 Plan.</w:t>
      </w:r>
    </w:p>
    <w:p>
      <w:pPr>
        <w:spacing w:after="0" w:line="1" w:lineRule="exact"/>
        <w:rPr>
          <w:sz w:val="20"/>
          <w:szCs w:val="20"/>
          <w:color w:val="auto"/>
        </w:rPr>
      </w:pPr>
    </w:p>
    <w:p>
      <w:pPr>
        <w:ind w:firstLine="402"/>
        <w:spacing w:after="0" w:line="254" w:lineRule="auto"/>
        <w:rPr>
          <w:sz w:val="20"/>
          <w:szCs w:val="20"/>
          <w:color w:val="auto"/>
        </w:rPr>
      </w:pPr>
      <w:r>
        <w:rPr>
          <w:rFonts w:ascii="Arial" w:cs="Arial" w:eastAsia="Arial" w:hAnsi="Arial"/>
          <w:sz w:val="18"/>
          <w:szCs w:val="18"/>
          <w:color w:val="auto"/>
        </w:rPr>
        <w:t xml:space="preserve">Late in the fourth quarter of 2023, we had a triggering event to review long-lived assets and test for impairment when certain of our Elite Comfort Solutions and Kayfoam customers notified us of efforts to improve their financial position by moving their business to or exploring alternative suppliers, which adversely impacted our future cash flow forecast. Although estimated undiscounted cash flows had previously exceeded carrying values, updated sales and earnings forecasts completed in early January 2024 indicated reduced expected cash flows. As a result, we performed recoverability and impairment testing, which led to a non-cash pretax charge of $ 443.7 for long-lived asset impairments (primarily customer relationships, technology, and trademarks) in the Bedding Products segment for the fourth quarter of 2023. This impairment was unrelated to the 2024 Restructuring Plan discussed in </w:t>
      </w:r>
      <w:r>
        <w:rPr>
          <w:rFonts w:ascii="Arial" w:cs="Arial" w:eastAsia="Arial" w:hAnsi="Arial"/>
          <w:sz w:val="18"/>
          <w:szCs w:val="18"/>
          <w:u w:val="single" w:color="auto"/>
          <w:color w:val="0000FF"/>
        </w:rPr>
        <w:t>Note E</w:t>
      </w:r>
      <w:r>
        <w:rPr>
          <w:rFonts w:ascii="Arial" w:cs="Arial" w:eastAsia="Arial" w:hAnsi="Arial"/>
          <w:sz w:val="18"/>
          <w:szCs w:val="18"/>
          <w:color w:val="auto"/>
        </w:rPr>
        <w:t>.</w:t>
      </w:r>
    </w:p>
    <w:p>
      <w:pPr>
        <w:spacing w:after="0" w:line="62" w:lineRule="exact"/>
        <w:rPr>
          <w:sz w:val="20"/>
          <w:szCs w:val="20"/>
          <w:color w:val="auto"/>
        </w:rPr>
      </w:pPr>
    </w:p>
    <w:p>
      <w:pPr>
        <w:ind w:right="220" w:firstLine="402"/>
        <w:spacing w:after="0" w:line="288" w:lineRule="auto"/>
        <w:rPr>
          <w:sz w:val="20"/>
          <w:szCs w:val="20"/>
          <w:color w:val="auto"/>
        </w:rPr>
      </w:pPr>
      <w:r>
        <w:rPr>
          <w:rFonts w:ascii="Arial" w:cs="Arial" w:eastAsia="Arial" w:hAnsi="Arial"/>
          <w:sz w:val="17"/>
          <w:szCs w:val="17"/>
          <w:color w:val="auto"/>
        </w:rPr>
        <w:t>This impairment represents substantially all of the intangibles associated with the asset groups noted above. We believe the estimates and assumptions utilized in our impairment testing are reasonable and are comparable to those that would be used by other market participants. However, if actual results differ materially from estimates used in these calculations, we could incur future impairment charges.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G—Goodwill and Other Intangible Assets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changes in the carrying amounts of goodwill are as follows:</w:t>
      </w:r>
    </w:p>
    <w:p>
      <w:pPr>
        <w:spacing w:after="0" w:line="4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Furniture,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Bedding</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Specialized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9"/>
              </w:rPr>
              <w:t>Flooring &amp;</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9"/>
              </w:rPr>
              <w:t>Textile</w:t>
            </w:r>
          </w:p>
        </w:tc>
        <w:tc>
          <w:tcPr>
            <w:tcW w:w="220" w:type="dxa"/>
            <w:vAlign w:val="bottom"/>
          </w:tcPr>
          <w:p>
            <w:pPr>
              <w:spacing w:after="0"/>
              <w:rPr>
                <w:sz w:val="12"/>
                <w:szCs w:val="12"/>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goodwill as of January 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0" w:type="dxa"/>
            <w:vAlign w:val="bottom"/>
          </w:tcPr>
          <w:p>
            <w:pPr>
              <w:spacing w:after="0"/>
              <w:rPr>
                <w:sz w:val="1"/>
                <w:szCs w:val="1"/>
                <w:color w:val="auto"/>
              </w:rPr>
            </w:pPr>
          </w:p>
        </w:tc>
      </w:tr>
      <w:tr>
        <w:trPr>
          <w:trHeight w:val="228"/>
        </w:trPr>
        <w:tc>
          <w:tcPr>
            <w:tcW w:w="6400" w:type="dxa"/>
            <w:vAlign w:val="bottom"/>
            <w:gridSpan w:val="3"/>
          </w:tcPr>
          <w:p>
            <w:pPr>
              <w:ind w:left="34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28"/>
        </w:trPr>
        <w:tc>
          <w:tcPr>
            <w:tcW w:w="6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1"/>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Net goodwill as of December 31, 2024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08"/>
        </w:trPr>
        <w:tc>
          <w:tcPr>
            <w:tcW w:w="6400" w:type="dxa"/>
            <w:vAlign w:val="bottom"/>
            <w:gridSpan w:val="3"/>
            <w:shd w:val="clear" w:color="auto" w:fill="CCEEFF"/>
          </w:tcPr>
          <w:p>
            <w:pPr>
              <w:ind w:left="340"/>
              <w:spacing w:after="0" w:line="188" w:lineRule="exact"/>
              <w:rPr>
                <w:sz w:val="20"/>
                <w:szCs w:val="20"/>
                <w:color w:val="auto"/>
              </w:rPr>
            </w:pPr>
            <w:r>
              <w:rPr>
                <w:rFonts w:ascii="Arial" w:cs="Arial" w:eastAsia="Arial" w:hAnsi="Arial"/>
                <w:sz w:val="18"/>
                <w:szCs w:val="18"/>
                <w:b w:val="1"/>
                <w:bCs w:val="1"/>
                <w:color w:val="auto"/>
              </w:rPr>
              <w:t xml:space="preserve">Allocations to divested businesses (see </w:t>
            </w:r>
            <w:r>
              <w:rPr>
                <w:rFonts w:ascii="Arial" w:cs="Arial" w:eastAsia="Arial" w:hAnsi="Arial"/>
                <w:sz w:val="18"/>
                <w:szCs w:val="18"/>
                <w:b w:val="1"/>
                <w:bCs w:val="1"/>
                <w:color w:val="0000FF"/>
              </w:rPr>
              <w:t>Note S</w:t>
            </w: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(68.9</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8"/>
                <w:szCs w:val="18"/>
                <w:b w:val="1"/>
                <w:bCs w:val="1"/>
                <w:color w:val="auto"/>
                <w:w w:val="99"/>
              </w:rPr>
              <w:t>Foreign currency translation adjustment</w:t>
            </w:r>
          </w:p>
        </w:tc>
        <w:tc>
          <w:tcPr>
            <w:tcW w:w="560" w:type="dxa"/>
            <w:vAlign w:val="bottom"/>
            <w:tcBorders>
              <w:top w:val="single" w:sz="8" w:color="0000FF"/>
              <w:bottom w:val="single" w:sz="8" w:color="CCEEFF"/>
            </w:tcBorders>
          </w:tcPr>
          <w:p>
            <w:pPr>
              <w:spacing w:after="0"/>
              <w:rPr>
                <w:sz w:val="19"/>
                <w:szCs w:val="19"/>
                <w:color w:val="auto"/>
              </w:rPr>
            </w:pPr>
          </w:p>
        </w:tc>
        <w:tc>
          <w:tcPr>
            <w:tcW w:w="206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CCEEFF"/>
              <w:bottom w:val="single" w:sz="8" w:color="auto"/>
            </w:tcBorders>
          </w:tcPr>
          <w:p>
            <w:pPr>
              <w:spacing w:after="0"/>
              <w:rPr>
                <w:sz w:val="19"/>
                <w:szCs w:val="19"/>
                <w:color w:val="auto"/>
              </w:rPr>
            </w:pPr>
          </w:p>
        </w:tc>
        <w:tc>
          <w:tcPr>
            <w:tcW w:w="7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46"/>
        </w:trPr>
        <w:tc>
          <w:tcPr>
            <w:tcW w:w="6400" w:type="dxa"/>
            <w:vAlign w:val="bottom"/>
            <w:tcBorders>
              <w:bottom w:val="single" w:sz="8" w:color="CCEEFF"/>
            </w:tcBorders>
            <w:gridSpan w:val="3"/>
            <w:shd w:val="clear" w:color="auto" w:fill="CCEEFF"/>
          </w:tcPr>
          <w:p>
            <w:pPr>
              <w:ind w:left="20"/>
              <w:spacing w:after="0" w:line="221" w:lineRule="exact"/>
              <w:rPr>
                <w:sz w:val="20"/>
                <w:szCs w:val="20"/>
                <w:color w:val="auto"/>
              </w:rPr>
            </w:pPr>
            <w:r>
              <w:rPr>
                <w:rFonts w:ascii="Arial" w:cs="Arial" w:eastAsia="Arial" w:hAnsi="Arial"/>
                <w:sz w:val="17"/>
                <w:szCs w:val="17"/>
                <w:b w:val="1"/>
                <w:bCs w:val="1"/>
                <w:color w:val="auto"/>
              </w:rPr>
              <w:t xml:space="preserve">Net goodwill as of December 31, 2025 </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6400" w:type="dxa"/>
            <w:vAlign w:val="bottom"/>
            <w:gridSpan w:val="3"/>
            <w:shd w:val="clear" w:color="auto" w:fill="CCEEFF"/>
          </w:tcPr>
          <w:p>
            <w:pPr>
              <w:ind w:left="240"/>
              <w:spacing w:after="0" w:line="227" w:lineRule="exact"/>
              <w:rPr>
                <w:sz w:val="20"/>
                <w:szCs w:val="20"/>
                <w:color w:val="auto"/>
              </w:rPr>
            </w:pPr>
            <w:r>
              <w:rPr>
                <w:rFonts w:ascii="Arial" w:cs="Arial" w:eastAsia="Arial" w:hAnsi="Arial"/>
                <w:sz w:val="26"/>
                <w:szCs w:val="26"/>
                <w:b w:val="1"/>
                <w:bCs w:val="1"/>
                <w:color w:val="auto"/>
                <w:vertAlign w:val="superscript"/>
              </w:rPr>
              <w:t>1</w:t>
            </w:r>
            <w:r>
              <w:rPr>
                <w:rFonts w:ascii="Arial" w:cs="Arial" w:eastAsia="Arial" w:hAnsi="Arial"/>
                <w:sz w:val="17"/>
                <w:szCs w:val="17"/>
                <w:b w:val="1"/>
                <w:bCs w:val="1"/>
                <w:color w:val="auto"/>
              </w:rPr>
              <w:t xml:space="preserve"> Net goodwill as of December 31, 2025 is comprised of:</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0" w:type="dxa"/>
            <w:vAlign w:val="bottom"/>
            <w:gridSpan w:val="3"/>
          </w:tcPr>
          <w:p>
            <w:pPr>
              <w:ind w:left="560"/>
              <w:spacing w:after="0"/>
              <w:rPr>
                <w:sz w:val="20"/>
                <w:szCs w:val="20"/>
                <w:color w:val="auto"/>
              </w:rPr>
            </w:pPr>
            <w:r>
              <w:rPr>
                <w:rFonts w:ascii="Arial" w:cs="Arial" w:eastAsia="Arial" w:hAnsi="Arial"/>
                <w:sz w:val="18"/>
                <w:szCs w:val="18"/>
                <w:b w:val="1"/>
                <w:bCs w:val="1"/>
                <w:color w:val="auto"/>
              </w:rPr>
              <w:t>Gross goodwill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600.2</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1,775.5</w:t>
            </w:r>
          </w:p>
        </w:tc>
        <w:tc>
          <w:tcPr>
            <w:tcW w:w="0" w:type="dxa"/>
            <w:vAlign w:val="bottom"/>
          </w:tcPr>
          <w:p>
            <w:pPr>
              <w:spacing w:after="0"/>
              <w:rPr>
                <w:sz w:val="1"/>
                <w:szCs w:val="1"/>
                <w:color w:val="auto"/>
              </w:rPr>
            </w:pPr>
          </w:p>
        </w:tc>
      </w:tr>
      <w:tr>
        <w:trPr>
          <w:trHeight w:val="228"/>
        </w:trPr>
        <w:tc>
          <w:tcPr>
            <w:tcW w:w="6400" w:type="dxa"/>
            <w:vAlign w:val="bottom"/>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Accumulated impairment charges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(1,024.1</w:t>
            </w:r>
          </w:p>
        </w:tc>
        <w:tc>
          <w:tcPr>
            <w:tcW w:w="0" w:type="dxa"/>
            <w:vAlign w:val="bottom"/>
          </w:tcPr>
          <w:p>
            <w:pPr>
              <w:spacing w:after="0"/>
              <w:rPr>
                <w:sz w:val="1"/>
                <w:szCs w:val="1"/>
                <w:color w:val="auto"/>
              </w:rPr>
            </w:pPr>
          </w:p>
        </w:tc>
      </w:tr>
      <w:tr>
        <w:trPr>
          <w:trHeight w:val="221"/>
        </w:trPr>
        <w:tc>
          <w:tcPr>
            <w:tcW w:w="640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goodwill as of December 31,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1020" w:firstLine="402"/>
        <w:spacing w:after="0" w:line="282" w:lineRule="auto"/>
        <w:rPr>
          <w:sz w:val="20"/>
          <w:szCs w:val="20"/>
          <w:color w:val="auto"/>
        </w:rPr>
      </w:pPr>
      <w:r>
        <w:rPr>
          <w:rFonts w:ascii="Arial" w:cs="Arial" w:eastAsia="Arial" w:hAnsi="Arial"/>
          <w:sz w:val="18"/>
          <w:szCs w:val="18"/>
          <w:color w:val="auto"/>
        </w:rPr>
        <w:t>The gross carrying amount and accumulated amortization by intangible asset class, included in "Other intangibles, net" on the Consolidated Balance Sheets, are as follows. No material intangible assets were acquired during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4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1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Net Intangibles</w:t>
            </w:r>
          </w:p>
        </w:tc>
        <w:tc>
          <w:tcPr>
            <w:tcW w:w="0" w:type="dxa"/>
            <w:vAlign w:val="bottom"/>
          </w:tcPr>
          <w:p>
            <w:pPr>
              <w:spacing w:after="0"/>
              <w:rPr>
                <w:sz w:val="1"/>
                <w:szCs w:val="1"/>
                <w:color w:val="auto"/>
              </w:rPr>
            </w:pPr>
          </w:p>
        </w:tc>
      </w:tr>
      <w:tr>
        <w:trPr>
          <w:trHeight w:val="184"/>
        </w:trPr>
        <w:tc>
          <w:tcPr>
            <w:tcW w:w="7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Customer-related intangibles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174"/>
        </w:trPr>
        <w:tc>
          <w:tcPr>
            <w:tcW w:w="716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Technology</w:t>
            </w:r>
          </w:p>
        </w:tc>
        <w:tc>
          <w:tcPr>
            <w:tcW w:w="12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8"/>
                <w:szCs w:val="18"/>
                <w:b w:val="1"/>
                <w:bCs w:val="1"/>
                <w:color w:val="auto"/>
              </w:rPr>
              <w:t>80.5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8"/>
                <w:szCs w:val="18"/>
                <w:b w:val="1"/>
                <w:bCs w:val="1"/>
                <w:color w:val="auto"/>
              </w:rPr>
              <w:t>64.5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82"/>
        </w:trPr>
        <w:tc>
          <w:tcPr>
            <w:tcW w:w="7160" w:type="dxa"/>
            <w:vAlign w:val="bottom"/>
          </w:tcPr>
          <w:p>
            <w:pPr>
              <w:ind w:left="20"/>
              <w:spacing w:after="0" w:line="281" w:lineRule="exact"/>
              <w:rPr>
                <w:sz w:val="20"/>
                <w:szCs w:val="20"/>
                <w:color w:val="auto"/>
              </w:rPr>
            </w:pPr>
            <w:r>
              <w:rPr>
                <w:rFonts w:ascii="Arial" w:cs="Arial" w:eastAsia="Arial" w:hAnsi="Arial"/>
                <w:sz w:val="16"/>
                <w:szCs w:val="16"/>
                <w:b w:val="1"/>
                <w:bCs w:val="1"/>
                <w:color w:val="auto"/>
              </w:rPr>
              <w:t xml:space="preserve">Patents and trademarks </w:t>
            </w:r>
            <w:r>
              <w:rPr>
                <w:rFonts w:ascii="Arial" w:cs="Arial" w:eastAsia="Arial" w:hAnsi="Arial"/>
                <w:sz w:val="27"/>
                <w:szCs w:val="27"/>
                <w:b w:val="1"/>
                <w:bCs w:val="1"/>
                <w:color w:val="auto"/>
                <w:vertAlign w:val="superscript"/>
              </w:rPr>
              <w:t>1</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2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Non-compete agreements, supply agreements and 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46"/>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174"/>
        </w:trPr>
        <w:tc>
          <w:tcPr>
            <w:tcW w:w="7160" w:type="dxa"/>
            <w:vAlign w:val="bottom"/>
          </w:tcPr>
          <w:p>
            <w:pPr>
              <w:ind w:left="20"/>
              <w:spacing w:after="0" w:line="175" w:lineRule="exact"/>
              <w:rPr>
                <w:sz w:val="20"/>
                <w:szCs w:val="20"/>
                <w:color w:val="auto"/>
              </w:rPr>
            </w:pPr>
            <w:r>
              <w:rPr>
                <w:rFonts w:ascii="Arial" w:cs="Arial" w:eastAsia="Arial" w:hAnsi="Arial"/>
                <w:sz w:val="16"/>
                <w:szCs w:val="16"/>
                <w:color w:val="auto"/>
              </w:rPr>
              <w:t>Technology</w:t>
            </w:r>
          </w:p>
        </w:tc>
        <w:tc>
          <w:tcPr>
            <w:tcW w:w="12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8"/>
                <w:szCs w:val="18"/>
                <w:color w:val="auto"/>
              </w:rPr>
              <w:t>85.8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8"/>
                <w:szCs w:val="18"/>
                <w:color w:val="auto"/>
              </w:rPr>
              <w:t>63.8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82"/>
        </w:trPr>
        <w:tc>
          <w:tcPr>
            <w:tcW w:w="7160" w:type="dxa"/>
            <w:vAlign w:val="bottom"/>
          </w:tcPr>
          <w:p>
            <w:pPr>
              <w:ind w:left="20"/>
              <w:spacing w:after="0" w:line="281" w:lineRule="exact"/>
              <w:rPr>
                <w:sz w:val="20"/>
                <w:szCs w:val="20"/>
                <w:color w:val="auto"/>
              </w:rPr>
            </w:pPr>
            <w:r>
              <w:rPr>
                <w:rFonts w:ascii="Arial" w:cs="Arial" w:eastAsia="Arial" w:hAnsi="Arial"/>
                <w:sz w:val="16"/>
                <w:szCs w:val="16"/>
                <w:color w:val="auto"/>
              </w:rPr>
              <w:t xml:space="preserve">Patents and trademarks </w:t>
            </w:r>
            <w:r>
              <w:rPr>
                <w:rFonts w:ascii="Arial" w:cs="Arial" w:eastAsia="Arial" w:hAnsi="Arial"/>
                <w:sz w:val="27"/>
                <w:szCs w:val="27"/>
                <w:b w:val="1"/>
                <w:bCs w:val="1"/>
                <w:color w:val="auto"/>
                <w:vertAlign w:val="superscript"/>
              </w:rPr>
              <w:t>1</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8"/>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 supply agreements and other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6"/>
        </w:trPr>
        <w:tc>
          <w:tcPr>
            <w:tcW w:w="7160" w:type="dxa"/>
            <w:vAlign w:val="bottom"/>
            <w:tcBorders>
              <w:bottom w:val="single" w:sz="8" w:color="CCEEFF"/>
            </w:tcBorders>
            <w:shd w:val="clear" w:color="auto" w:fill="CCEEFF"/>
          </w:tcPr>
          <w:p>
            <w:pPr>
              <w:ind w:left="140"/>
              <w:spacing w:after="0" w:line="221"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5"/>
                <w:szCs w:val="25"/>
                <w:b w:val="1"/>
                <w:bCs w:val="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-1531620</wp:posOffset>
            </wp:positionV>
            <wp:extent cx="7133590" cy="144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-476250</wp:posOffset>
            </wp:positionV>
            <wp:extent cx="7133590" cy="144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264" w:lineRule="exact"/>
        <w:rPr>
          <w:sz w:val="20"/>
          <w:szCs w:val="20"/>
          <w:color w:val="auto"/>
        </w:rPr>
      </w:pPr>
    </w:p>
    <w:p>
      <w:pPr>
        <w:ind w:left="520" w:hanging="111"/>
        <w:spacing w:after="0"/>
        <w:tabs>
          <w:tab w:leader="none" w:pos="520" w:val="left"/>
        </w:tabs>
        <w:numPr>
          <w:ilvl w:val="0"/>
          <w:numId w:val="69"/>
        </w:numPr>
        <w:rPr>
          <w:rFonts w:ascii="Arial" w:cs="Arial" w:eastAsia="Arial" w:hAnsi="Arial"/>
          <w:sz w:val="28"/>
          <w:szCs w:val="28"/>
          <w:b w:val="1"/>
          <w:bCs w:val="1"/>
          <w:color w:val="auto"/>
          <w:vertAlign w:val="superscript"/>
        </w:rPr>
      </w:pPr>
      <w:r>
        <w:rPr>
          <w:rFonts w:ascii="Arial" w:cs="Arial" w:eastAsia="Arial" w:hAnsi="Arial"/>
          <w:sz w:val="18"/>
          <w:szCs w:val="18"/>
          <w:color w:val="auto"/>
        </w:rPr>
        <w:t>$8.5 and $17.4 of our trademarks at December 31, 2025 and December 31, 2024, respectively, are not subject to amortization.</w:t>
      </w:r>
    </w:p>
    <w:p>
      <w:pPr>
        <w:spacing w:after="0" w:line="77" w:lineRule="exact"/>
        <w:rPr>
          <w:rFonts w:ascii="Arial" w:cs="Arial" w:eastAsia="Arial" w:hAnsi="Arial"/>
          <w:sz w:val="28"/>
          <w:szCs w:val="28"/>
          <w:b w:val="1"/>
          <w:bCs w:val="1"/>
          <w:color w:val="auto"/>
          <w:vertAlign w:val="superscript"/>
        </w:rPr>
      </w:pPr>
    </w:p>
    <w:p>
      <w:pPr>
        <w:ind w:left="400"/>
        <w:spacing w:after="0"/>
        <w:rPr>
          <w:rFonts w:ascii="Arial" w:cs="Arial" w:eastAsia="Arial" w:hAnsi="Arial"/>
          <w:sz w:val="28"/>
          <w:szCs w:val="28"/>
          <w:b w:val="1"/>
          <w:bCs w:val="1"/>
          <w:color w:val="auto"/>
          <w:vertAlign w:val="superscript"/>
        </w:rPr>
      </w:pPr>
      <w:r>
        <w:rPr>
          <w:rFonts w:ascii="Arial" w:cs="Arial" w:eastAsia="Arial" w:hAnsi="Arial"/>
          <w:sz w:val="27"/>
          <w:szCs w:val="27"/>
          <w:b w:val="1"/>
          <w:bCs w:val="1"/>
          <w:color w:val="auto"/>
          <w:vertAlign w:val="superscript"/>
        </w:rPr>
        <w:t>2</w:t>
      </w:r>
      <w:r>
        <w:rPr>
          <w:rFonts w:ascii="Arial" w:cs="Arial" w:eastAsia="Arial" w:hAnsi="Arial"/>
          <w:sz w:val="18"/>
          <w:szCs w:val="18"/>
          <w:color w:val="auto"/>
        </w:rPr>
        <w:t xml:space="preserve"> Net intangible assets included in the divestiture of the Aerospace Products Group, as discussed in </w:t>
      </w:r>
      <w:r>
        <w:rPr>
          <w:rFonts w:ascii="Arial" w:cs="Arial" w:eastAsia="Arial" w:hAnsi="Arial"/>
          <w:sz w:val="18"/>
          <w:szCs w:val="18"/>
          <w:u w:val="single" w:color="auto"/>
          <w:color w:val="0000FF"/>
        </w:rPr>
        <w:t>Note S</w:t>
      </w:r>
      <w:r>
        <w:rPr>
          <w:rFonts w:ascii="Arial" w:cs="Arial" w:eastAsia="Arial" w:hAnsi="Arial"/>
          <w:sz w:val="18"/>
          <w:szCs w:val="18"/>
          <w:color w:val="auto"/>
        </w:rPr>
        <w:t>, were $39.1.</w:t>
      </w: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0" w:type="dxa"/>
        <w:tblCellMar>
          <w:top w:w="0" w:type="dxa"/>
          <w:left w:w="0" w:type="dxa"/>
          <w:bottom w:w="0" w:type="dxa"/>
          <w:right w:w="0" w:type="dxa"/>
        </w:tblCellMar>
      </w:tblPr>
      <w:tr>
        <w:trPr>
          <w:trHeight w:val="236"/>
        </w:trPr>
        <w:tc>
          <w:tcPr>
            <w:tcW w:w="5680" w:type="dxa"/>
            <w:vAlign w:val="bottom"/>
            <w:gridSpan w:val="2"/>
          </w:tcPr>
          <w:p>
            <w:pPr>
              <w:jc w:val="right"/>
              <w:ind w:right="211"/>
              <w:spacing w:after="0"/>
              <w:rPr>
                <w:sz w:val="20"/>
                <w:szCs w:val="20"/>
                <w:color w:val="auto"/>
              </w:rPr>
            </w:pPr>
            <w:r>
              <w:rPr>
                <w:rFonts w:ascii="Arial" w:cs="Arial" w:eastAsia="Arial" w:hAnsi="Arial"/>
                <w:sz w:val="18"/>
                <w:szCs w:val="18"/>
                <w:color w:val="auto"/>
                <w:w w:val="99"/>
              </w:rPr>
              <w:t>Estimated amortization expense for the next five years is as follows:</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54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40" w:type="dxa"/>
            <w:vAlign w:val="bottom"/>
            <w:vMerge w:val="continue"/>
          </w:tcPr>
          <w:p>
            <w:pPr>
              <w:spacing w:after="0"/>
              <w:rPr>
                <w:sz w:val="19"/>
                <w:szCs w:val="19"/>
                <w:color w:val="auto"/>
              </w:rPr>
            </w:pPr>
          </w:p>
        </w:tc>
        <w:tc>
          <w:tcPr>
            <w:tcW w:w="2140" w:type="dxa"/>
            <w:vAlign w:val="bottom"/>
            <w:shd w:val="clear" w:color="auto" w:fill="CCEEFF"/>
          </w:tcPr>
          <w:p>
            <w:pPr>
              <w:jc w:val="right"/>
              <w:ind w:right="1631"/>
              <w:spacing w:after="0"/>
              <w:rPr>
                <w:sz w:val="20"/>
                <w:szCs w:val="20"/>
                <w:color w:val="auto"/>
              </w:rPr>
            </w:pPr>
            <w:r>
              <w:rPr>
                <w:rFonts w:ascii="Arial" w:cs="Arial" w:eastAsia="Arial" w:hAnsi="Arial"/>
                <w:sz w:val="18"/>
                <w:szCs w:val="18"/>
                <w:color w:val="auto"/>
                <w:w w:val="99"/>
              </w:rPr>
              <w:t>2026</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2140" w:type="dxa"/>
            <w:vAlign w:val="bottom"/>
          </w:tcPr>
          <w:p>
            <w:pPr>
              <w:jc w:val="right"/>
              <w:ind w:right="1631"/>
              <w:spacing w:after="0"/>
              <w:rPr>
                <w:sz w:val="20"/>
                <w:szCs w:val="20"/>
                <w:color w:val="auto"/>
              </w:rPr>
            </w:pPr>
            <w:r>
              <w:rPr>
                <w:rFonts w:ascii="Arial" w:cs="Arial" w:eastAsia="Arial" w:hAnsi="Arial"/>
                <w:sz w:val="18"/>
                <w:szCs w:val="18"/>
                <w:color w:val="auto"/>
                <w:w w:val="99"/>
              </w:rPr>
              <w:t>2027</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2140" w:type="dxa"/>
            <w:vAlign w:val="bottom"/>
            <w:shd w:val="clear" w:color="auto" w:fill="CCEEFF"/>
          </w:tcPr>
          <w:p>
            <w:pPr>
              <w:jc w:val="right"/>
              <w:ind w:right="1631"/>
              <w:spacing w:after="0"/>
              <w:rPr>
                <w:sz w:val="20"/>
                <w:szCs w:val="20"/>
                <w:color w:val="auto"/>
              </w:rPr>
            </w:pPr>
            <w:r>
              <w:rPr>
                <w:rFonts w:ascii="Arial" w:cs="Arial" w:eastAsia="Arial" w:hAnsi="Arial"/>
                <w:sz w:val="18"/>
                <w:szCs w:val="18"/>
                <w:color w:val="auto"/>
                <w:w w:val="99"/>
              </w:rPr>
              <w:t>2028</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2140" w:type="dxa"/>
            <w:vAlign w:val="bottom"/>
          </w:tcPr>
          <w:p>
            <w:pPr>
              <w:jc w:val="right"/>
              <w:ind w:right="1631"/>
              <w:spacing w:after="0"/>
              <w:rPr>
                <w:sz w:val="20"/>
                <w:szCs w:val="20"/>
                <w:color w:val="auto"/>
              </w:rPr>
            </w:pPr>
            <w:r>
              <w:rPr>
                <w:rFonts w:ascii="Arial" w:cs="Arial" w:eastAsia="Arial" w:hAnsi="Arial"/>
                <w:sz w:val="18"/>
                <w:szCs w:val="18"/>
                <w:color w:val="auto"/>
                <w:w w:val="99"/>
              </w:rPr>
              <w:t>2029</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2140" w:type="dxa"/>
            <w:vAlign w:val="bottom"/>
            <w:shd w:val="clear" w:color="auto" w:fill="CCEEFF"/>
          </w:tcPr>
          <w:p>
            <w:pPr>
              <w:jc w:val="right"/>
              <w:ind w:right="1631"/>
              <w:spacing w:after="0"/>
              <w:rPr>
                <w:sz w:val="20"/>
                <w:szCs w:val="20"/>
                <w:color w:val="auto"/>
              </w:rPr>
            </w:pPr>
            <w:r>
              <w:rPr>
                <w:rFonts w:ascii="Arial" w:cs="Arial" w:eastAsia="Arial" w:hAnsi="Arial"/>
                <w:sz w:val="18"/>
                <w:szCs w:val="18"/>
                <w:color w:val="auto"/>
                <w:w w:val="99"/>
              </w:rPr>
              <w:t>2030</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H—Accounts and Other Receivables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and other receivables at December 31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040" w:type="dxa"/>
            <w:vAlign w:val="bottom"/>
            <w:tcBorders>
              <w:bottom w:val="single" w:sz="8" w:color="auto"/>
            </w:tcBorders>
          </w:tcPr>
          <w:p>
            <w:pPr>
              <w:spacing w:after="0"/>
              <w:rPr>
                <w:sz w:val="17"/>
                <w:szCs w:val="17"/>
                <w:color w:val="auto"/>
              </w:rPr>
            </w:pPr>
          </w:p>
        </w:tc>
      </w:tr>
      <w:tr>
        <w:trPr>
          <w:trHeight w:val="194"/>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Long-term</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6"/>
                <w:szCs w:val="16"/>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b w:val="1"/>
                <w:bCs w:val="1"/>
                <w:color w:val="auto"/>
              </w:rPr>
              <w:t>Long-term</w:t>
            </w:r>
          </w:p>
        </w:tc>
      </w:tr>
      <w:tr>
        <w:trPr>
          <w:trHeight w:val="22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trade receivables</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Allowance for doubtful accounts - trade receivables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6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receivables, net</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receivable, including income taxes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Value-added taxes (VAT) recoverable </w:t>
            </w:r>
            <w:r>
              <w:rPr>
                <w:rFonts w:ascii="Arial" w:cs="Arial" w:eastAsia="Arial" w:hAnsi="Arial"/>
                <w:sz w:val="26"/>
                <w:szCs w:val="26"/>
                <w:b w:val="1"/>
                <w:bCs w:val="1"/>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receivable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Divestitures receivable </w:t>
            </w:r>
            <w:r>
              <w:rPr>
                <w:rFonts w:ascii="Arial" w:cs="Arial" w:eastAsia="Arial" w:hAnsi="Arial"/>
                <w:sz w:val="26"/>
                <w:szCs w:val="26"/>
                <w:b w:val="1"/>
                <w:bCs w:val="1"/>
                <w:color w:val="auto"/>
                <w:vertAlign w:val="superscript"/>
              </w:rPr>
              <w:t>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1"/>
        </w:trPr>
        <w:tc>
          <w:tcPr>
            <w:tcW w:w="6060" w:type="dxa"/>
            <w:vAlign w:val="bottom"/>
          </w:tcPr>
          <w:p>
            <w:pPr>
              <w:ind w:left="260"/>
              <w:spacing w:after="0"/>
              <w:rPr>
                <w:sz w:val="20"/>
                <w:szCs w:val="20"/>
                <w:color w:val="auto"/>
              </w:rPr>
            </w:pPr>
            <w:r>
              <w:rPr>
                <w:rFonts w:ascii="Arial" w:cs="Arial" w:eastAsia="Arial" w:hAnsi="Arial"/>
                <w:sz w:val="18"/>
                <w:szCs w:val="18"/>
                <w:color w:val="auto"/>
              </w:rPr>
              <w:t>Other receivables, net</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480" w:right="180" w:hanging="151"/>
        <w:spacing w:after="0" w:line="216" w:lineRule="auto"/>
        <w:tabs>
          <w:tab w:leader="none" w:pos="435" w:val="left"/>
        </w:tabs>
        <w:numPr>
          <w:ilvl w:val="0"/>
          <w:numId w:val="70"/>
        </w:numPr>
        <w:rPr>
          <w:rFonts w:ascii="Arial" w:cs="Arial" w:eastAsia="Arial" w:hAnsi="Arial"/>
          <w:sz w:val="28"/>
          <w:szCs w:val="28"/>
          <w:b w:val="1"/>
          <w:bCs w:val="1"/>
          <w:color w:val="auto"/>
          <w:vertAlign w:val="superscript"/>
        </w:rPr>
      </w:pPr>
      <w:r>
        <w:rPr>
          <w:rFonts w:ascii="Arial" w:cs="Arial" w:eastAsia="Arial" w:hAnsi="Arial"/>
          <w:sz w:val="18"/>
          <w:szCs w:val="18"/>
          <w:color w:val="auto"/>
        </w:rPr>
        <w:t>This includes recoverable amounts from various countries. As of December 31, 2024, we had outstanding Mexico VAT receivables of $35.5, primarily due to delays in processing refunds by the local tax authorities. Refunds received during 2025 reduced this receivable to $2.1 at December 31, 2025.</w:t>
      </w:r>
    </w:p>
    <w:p>
      <w:pPr>
        <w:ind w:left="460" w:hanging="131"/>
        <w:spacing w:after="0" w:line="221" w:lineRule="auto"/>
        <w:tabs>
          <w:tab w:leader="none" w:pos="460" w:val="left"/>
        </w:tabs>
        <w:numPr>
          <w:ilvl w:val="0"/>
          <w:numId w:val="71"/>
        </w:numPr>
        <w:rPr>
          <w:rFonts w:ascii="Arial" w:cs="Arial" w:eastAsia="Arial" w:hAnsi="Arial"/>
          <w:sz w:val="28"/>
          <w:szCs w:val="28"/>
          <w:b w:val="1"/>
          <w:bCs w:val="1"/>
          <w:color w:val="auto"/>
          <w:vertAlign w:val="superscript"/>
        </w:rPr>
      </w:pPr>
      <w:r>
        <w:rPr>
          <w:rFonts w:ascii="Arial" w:cs="Arial" w:eastAsia="Arial" w:hAnsi="Arial"/>
          <w:sz w:val="18"/>
          <w:szCs w:val="18"/>
          <w:color w:val="auto"/>
        </w:rPr>
        <w:t>We collected the final working capital adjustment for the Aerospace Group divestiture in January 2026.</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related to the allowance for doubtful accounts is reflected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Balance at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Net</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Net</w:t>
            </w:r>
          </w:p>
        </w:tc>
        <w:tc>
          <w:tcPr>
            <w:tcW w:w="160" w:type="dxa"/>
            <w:vAlign w:val="bottom"/>
          </w:tcPr>
          <w:p>
            <w:pPr>
              <w:spacing w:after="0"/>
              <w:rPr>
                <w:sz w:val="14"/>
                <w:szCs w:val="14"/>
                <w:color w:val="auto"/>
              </w:rPr>
            </w:pPr>
          </w:p>
        </w:tc>
        <w:tc>
          <w:tcPr>
            <w:tcW w:w="9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Charge-</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Charge-</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40" w:type="dxa"/>
            <w:vAlign w:val="bottom"/>
          </w:tcPr>
          <w:p>
            <w:pPr>
              <w:spacing w:after="0"/>
              <w:rPr>
                <w:sz w:val="12"/>
                <w:szCs w:val="12"/>
                <w:color w:val="auto"/>
              </w:rPr>
            </w:pPr>
          </w:p>
        </w:tc>
        <w:tc>
          <w:tcPr>
            <w:tcW w:w="122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rPr>
              <w:t>offs/(Recoveries)</w:t>
            </w:r>
          </w:p>
        </w:tc>
        <w:tc>
          <w:tcPr>
            <w:tcW w:w="122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rPr>
              <w:t>offs/(Recoveries)</w:t>
            </w:r>
          </w:p>
        </w:tc>
        <w:tc>
          <w:tcPr>
            <w:tcW w:w="11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3"/>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and Other</w:t>
            </w:r>
          </w:p>
        </w:tc>
        <w:tc>
          <w:tcPr>
            <w:tcW w:w="160" w:type="dxa"/>
            <w:vAlign w:val="bottom"/>
          </w:tcPr>
          <w:p>
            <w:pPr>
              <w:spacing w:after="0"/>
              <w:rPr>
                <w:sz w:val="16"/>
                <w:szCs w:val="16"/>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6"/>
                <w:szCs w:val="16"/>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4"/>
        </w:trPr>
        <w:tc>
          <w:tcPr>
            <w:tcW w:w="2640" w:type="dxa"/>
            <w:vAlign w:val="bottom"/>
            <w:tcBorders>
              <w:top w:val="single" w:sz="8" w:color="CCEEFF"/>
            </w:tcBorders>
            <w:shd w:val="clear" w:color="auto" w:fill="CCEEFF"/>
          </w:tcPr>
          <w:p>
            <w:pPr>
              <w:ind w:left="240"/>
              <w:spacing w:after="0" w:line="154" w:lineRule="exact"/>
              <w:rPr>
                <w:sz w:val="20"/>
                <w:szCs w:val="20"/>
                <w:color w:val="auto"/>
              </w:rPr>
            </w:pPr>
            <w:r>
              <w:rPr>
                <w:rFonts w:ascii="Arial" w:cs="Arial" w:eastAsia="Arial" w:hAnsi="Arial"/>
                <w:sz w:val="17"/>
                <w:szCs w:val="17"/>
                <w:color w:val="auto"/>
              </w:rPr>
              <w:t>Total allowance for doubtful</w:t>
            </w: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6.7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34"/>
        </w:trPr>
        <w:tc>
          <w:tcPr>
            <w:tcW w:w="2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accounts on trade receivables $</w:t>
            </w: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42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I—Supplemental Balance Sheet Information</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supplemental balance sheet details at December 31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9"/>
        </w:trPr>
        <w:tc>
          <w:tcPr>
            <w:tcW w:w="92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200" w:type="dxa"/>
            <w:vAlign w:val="bottom"/>
            <w:gridSpan w:val="17"/>
          </w:tcPr>
          <w:p>
            <w:pPr>
              <w:ind w:left="340"/>
              <w:spacing w:after="0" w:line="188" w:lineRule="exact"/>
              <w:rPr>
                <w:sz w:val="20"/>
                <w:szCs w:val="20"/>
                <w:color w:val="auto"/>
              </w:rPr>
            </w:pPr>
            <w:r>
              <w:rPr>
                <w:rFonts w:ascii="Arial" w:cs="Arial" w:eastAsia="Arial" w:hAnsi="Arial"/>
                <w:sz w:val="18"/>
                <w:szCs w:val="18"/>
                <w:color w:val="auto"/>
              </w:rPr>
              <w:t xml:space="preserve">Deferred income taxes (see </w:t>
            </w:r>
            <w:r>
              <w:rPr>
                <w:rFonts w:ascii="Arial" w:cs="Arial" w:eastAsia="Arial" w:hAnsi="Arial"/>
                <w:sz w:val="18"/>
                <w:szCs w:val="18"/>
                <w:color w:val="0000FF"/>
              </w:rPr>
              <w:t>Note O</w:t>
            </w:r>
            <w:r>
              <w:rPr>
                <w:rFonts w:ascii="Arial" w:cs="Arial" w:eastAsia="Arial" w:hAnsi="Arial"/>
                <w:sz w:val="18"/>
                <w:szCs w:val="18"/>
                <w:color w:val="auto"/>
              </w:rPr>
              <w:t>)</w:t>
            </w: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16"/>
                <w:szCs w:val="16"/>
                <w:color w:val="auto"/>
              </w:rPr>
            </w:pP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17"/>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Diversified investments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88"/>
        </w:trPr>
        <w:tc>
          <w:tcPr>
            <w:tcW w:w="6560" w:type="dxa"/>
            <w:vAlign w:val="bottom"/>
            <w:tcBorders>
              <w:top w:val="single" w:sz="8" w:color="CCEEFF"/>
            </w:tcBorders>
            <w:gridSpan w:val="15"/>
          </w:tcPr>
          <w:p>
            <w:pPr>
              <w:ind w:left="340"/>
              <w:spacing w:after="0" w:line="188" w:lineRule="exact"/>
              <w:rPr>
                <w:sz w:val="20"/>
                <w:szCs w:val="20"/>
                <w:color w:val="auto"/>
              </w:rPr>
            </w:pPr>
            <w:r>
              <w:rPr>
                <w:rFonts w:ascii="Arial" w:cs="Arial" w:eastAsia="Arial" w:hAnsi="Arial"/>
                <w:sz w:val="18"/>
                <w:szCs w:val="18"/>
                <w:color w:val="auto"/>
              </w:rPr>
              <w:t xml:space="preserve">Pension plan assets (see </w:t>
            </w:r>
            <w:r>
              <w:rPr>
                <w:rFonts w:ascii="Arial" w:cs="Arial" w:eastAsia="Arial" w:hAnsi="Arial"/>
                <w:sz w:val="18"/>
                <w:szCs w:val="18"/>
                <w:color w:val="0000FF"/>
              </w:rPr>
              <w:t>Note M</w:t>
            </w:r>
            <w:r>
              <w:rPr>
                <w:rFonts w:ascii="Arial" w:cs="Arial" w:eastAsia="Arial" w:hAnsi="Arial"/>
                <w:sz w:val="18"/>
                <w:szCs w:val="18"/>
                <w:color w:val="auto"/>
              </w:rPr>
              <w:t>)</w:t>
            </w:r>
          </w:p>
        </w:tc>
        <w:tc>
          <w:tcPr>
            <w:tcW w:w="520" w:type="dxa"/>
            <w:vAlign w:val="bottom"/>
            <w:tcBorders>
              <w:top w:val="single" w:sz="8" w:color="0000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line="188" w:lineRule="exact"/>
              <w:rPr>
                <w:sz w:val="20"/>
                <w:szCs w:val="20"/>
                <w:color w:val="auto"/>
              </w:rPr>
            </w:pPr>
            <w:r>
              <w:rPr>
                <w:rFonts w:ascii="Arial" w:cs="Arial" w:eastAsia="Arial" w:hAnsi="Arial"/>
                <w:sz w:val="18"/>
                <w:szCs w:val="18"/>
                <w:b w:val="1"/>
                <w:bCs w:val="1"/>
                <w:color w:val="auto"/>
              </w:rPr>
              <w:t>11.6</w:t>
            </w: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line="188"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Tooling and molds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88"/>
        </w:trPr>
        <w:tc>
          <w:tcPr>
            <w:tcW w:w="9200" w:type="dxa"/>
            <w:vAlign w:val="bottom"/>
            <w:gridSpan w:val="17"/>
          </w:tcPr>
          <w:p>
            <w:pPr>
              <w:ind w:left="340"/>
              <w:spacing w:after="0" w:line="188" w:lineRule="exact"/>
              <w:rPr>
                <w:sz w:val="20"/>
                <w:szCs w:val="20"/>
                <w:color w:val="auto"/>
              </w:rPr>
            </w:pPr>
            <w:r>
              <w:rPr>
                <w:rFonts w:ascii="Arial" w:cs="Arial" w:eastAsia="Arial" w:hAnsi="Arial"/>
                <w:sz w:val="18"/>
                <w:szCs w:val="18"/>
                <w:color w:val="auto"/>
              </w:rPr>
              <w:t xml:space="preserve">Finance leases (see </w:t>
            </w:r>
            <w:r>
              <w:rPr>
                <w:rFonts w:ascii="Arial" w:cs="Arial" w:eastAsia="Arial" w:hAnsi="Arial"/>
                <w:sz w:val="18"/>
                <w:szCs w:val="18"/>
                <w:color w:val="0000FF"/>
              </w:rPr>
              <w:t>Note K</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00" w:type="dxa"/>
            <w:vAlign w:val="bottom"/>
            <w:gridSpan w:val="17"/>
            <w:shd w:val="clear" w:color="auto" w:fill="CCEEFF"/>
          </w:tcPr>
          <w:p>
            <w:pPr>
              <w:ind w:left="20"/>
              <w:spacing w:after="0" w:line="195"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0" w:type="dxa"/>
            <w:vAlign w:val="bottom"/>
            <w:gridSpan w:val="17"/>
          </w:tcPr>
          <w:p>
            <w:pPr>
              <w:ind w:left="340"/>
              <w:spacing w:after="0"/>
              <w:rPr>
                <w:sz w:val="20"/>
                <w:szCs w:val="20"/>
                <w:color w:val="auto"/>
              </w:rPr>
            </w:pPr>
            <w:r>
              <w:rPr>
                <w:rFonts w:ascii="Arial" w:cs="Arial" w:eastAsia="Arial" w:hAnsi="Arial"/>
                <w:sz w:val="18"/>
                <w:szCs w:val="18"/>
                <w:color w:val="auto"/>
              </w:rPr>
              <w:t>Wages and commissions payable</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80.6</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Workers’ compensation, vehicle-related and product liability, medical/disability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8"/>
        </w:trPr>
        <w:tc>
          <w:tcPr>
            <w:tcW w:w="9200" w:type="dxa"/>
            <w:vAlign w:val="bottom"/>
            <w:gridSpan w:val="17"/>
          </w:tcPr>
          <w:p>
            <w:pPr>
              <w:ind w:left="340"/>
              <w:spacing w:after="0"/>
              <w:rPr>
                <w:sz w:val="20"/>
                <w:szCs w:val="20"/>
                <w:color w:val="auto"/>
              </w:rPr>
            </w:pPr>
            <w:r>
              <w:rPr>
                <w:rFonts w:ascii="Arial" w:cs="Arial" w:eastAsia="Arial" w:hAnsi="Arial"/>
                <w:sz w:val="18"/>
                <w:szCs w:val="18"/>
                <w:color w:val="auto"/>
              </w:rPr>
              <w:t>Sales promotions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8"/>
        </w:trPr>
        <w:tc>
          <w:tcPr>
            <w:tcW w:w="9200" w:type="dxa"/>
            <w:vAlign w:val="bottom"/>
            <w:gridSpan w:val="17"/>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5460" w:type="dxa"/>
            <w:vAlign w:val="bottom"/>
            <w:tcBorders>
              <w:top w:val="single" w:sz="8" w:color="CCEEFF"/>
            </w:tcBorders>
            <w:gridSpan w:val="13"/>
          </w:tcPr>
          <w:p>
            <w:pPr>
              <w:ind w:left="340"/>
              <w:spacing w:after="0"/>
              <w:rPr>
                <w:sz w:val="20"/>
                <w:szCs w:val="20"/>
                <w:color w:val="auto"/>
              </w:rPr>
            </w:pPr>
            <w:r>
              <w:rPr>
                <w:rFonts w:ascii="Arial" w:cs="Arial" w:eastAsia="Arial" w:hAnsi="Arial"/>
                <w:sz w:val="18"/>
                <w:szCs w:val="18"/>
                <w:color w:val="auto"/>
              </w:rPr>
              <w:t>Accrued interest</w:t>
            </w:r>
          </w:p>
        </w:tc>
        <w:tc>
          <w:tcPr>
            <w:tcW w:w="520" w:type="dxa"/>
            <w:vAlign w:val="bottom"/>
            <w:tcBorders>
              <w:top w:val="single" w:sz="8" w:color="0000FF"/>
            </w:tcBorders>
          </w:tcPr>
          <w:p>
            <w:pPr>
              <w:spacing w:after="0"/>
              <w:rPr>
                <w:sz w:val="19"/>
                <w:szCs w:val="19"/>
                <w:color w:val="auto"/>
              </w:rPr>
            </w:pPr>
          </w:p>
        </w:tc>
        <w:tc>
          <w:tcPr>
            <w:tcW w:w="3220" w:type="dxa"/>
            <w:vAlign w:val="bottom"/>
            <w:tcBorders>
              <w:top w:val="single" w:sz="8" w:color="CCEEFF"/>
            </w:tcBorders>
            <w:gridSpan w:val="3"/>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General taxes, excluding income taxes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88"/>
        </w:trPr>
        <w:tc>
          <w:tcPr>
            <w:tcW w:w="9200" w:type="dxa"/>
            <w:vAlign w:val="bottom"/>
            <w:gridSpan w:val="17"/>
          </w:tcPr>
          <w:p>
            <w:pPr>
              <w:ind w:left="340"/>
              <w:spacing w:after="0" w:line="188" w:lineRule="exact"/>
              <w:rPr>
                <w:sz w:val="20"/>
                <w:szCs w:val="20"/>
                <w:color w:val="auto"/>
              </w:rPr>
            </w:pPr>
            <w:r>
              <w:rPr>
                <w:rFonts w:ascii="Arial" w:cs="Arial" w:eastAsia="Arial" w:hAnsi="Arial"/>
                <w:sz w:val="18"/>
                <w:szCs w:val="18"/>
                <w:color w:val="auto"/>
              </w:rPr>
              <w:t xml:space="preserve">Legal contingency accruals (see </w:t>
            </w:r>
            <w:r>
              <w:rPr>
                <w:rFonts w:ascii="Arial" w:cs="Arial" w:eastAsia="Arial" w:hAnsi="Arial"/>
                <w:sz w:val="18"/>
                <w:szCs w:val="18"/>
                <w:color w:val="0000FF"/>
              </w:rPr>
              <w:t>Note T</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00" w:type="dxa"/>
            <w:vAlign w:val="bottom"/>
            <w:gridSpan w:val="17"/>
            <w:shd w:val="clear" w:color="auto" w:fill="CCEEFF"/>
          </w:tcPr>
          <w:p>
            <w:pPr>
              <w:ind w:left="20"/>
              <w:spacing w:after="0" w:line="195" w:lineRule="exact"/>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0" w:type="dxa"/>
            <w:vAlign w:val="bottom"/>
            <w:gridSpan w:val="17"/>
          </w:tcPr>
          <w:p>
            <w:pPr>
              <w:ind w:left="340"/>
              <w:spacing w:after="0"/>
              <w:rPr>
                <w:sz w:val="20"/>
                <w:szCs w:val="20"/>
                <w:color w:val="auto"/>
              </w:rPr>
            </w:pPr>
            <w:r>
              <w:rPr>
                <w:rFonts w:ascii="Arial" w:cs="Arial" w:eastAsia="Arial" w:hAnsi="Arial"/>
                <w:sz w:val="18"/>
                <w:szCs w:val="18"/>
                <w:color w:val="auto"/>
              </w:rPr>
              <w:t>Dividends payable</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8"/>
        </w:trPr>
        <w:tc>
          <w:tcPr>
            <w:tcW w:w="9200" w:type="dxa"/>
            <w:vAlign w:val="bottom"/>
            <w:gridSpan w:val="17"/>
          </w:tcPr>
          <w:p>
            <w:pPr>
              <w:ind w:left="340"/>
              <w:spacing w:after="0"/>
              <w:rPr>
                <w:sz w:val="20"/>
                <w:szCs w:val="20"/>
                <w:color w:val="auto"/>
              </w:rPr>
            </w:pPr>
            <w:r>
              <w:rPr>
                <w:rFonts w:ascii="Arial" w:cs="Arial" w:eastAsia="Arial" w:hAnsi="Arial"/>
                <w:sz w:val="18"/>
                <w:szCs w:val="18"/>
                <w:color w:val="auto"/>
              </w:rPr>
              <w:t>Additional consideration for acquisition of businesses</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8"/>
        </w:trPr>
        <w:tc>
          <w:tcPr>
            <w:tcW w:w="9200" w:type="dxa"/>
            <w:vAlign w:val="bottom"/>
            <w:gridSpan w:val="17"/>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Derivative financial instruments (see </w:t>
            </w:r>
            <w:r>
              <w:rPr>
                <w:rFonts w:ascii="Arial" w:cs="Arial" w:eastAsia="Arial" w:hAnsi="Arial"/>
                <w:sz w:val="18"/>
                <w:szCs w:val="18"/>
                <w:color w:val="0000FF"/>
              </w:rPr>
              <w:t>Note R</w:t>
            </w: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0" w:type="dxa"/>
            <w:vAlign w:val="bottom"/>
            <w:gridSpan w:val="17"/>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Outstanding checks in excess of book balances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8"/>
        </w:trPr>
        <w:tc>
          <w:tcPr>
            <w:tcW w:w="9200" w:type="dxa"/>
            <w:vAlign w:val="bottom"/>
            <w:tcBorders>
              <w:bottom w:val="single" w:sz="8" w:color="CCEEFF"/>
            </w:tcBorders>
            <w:gridSpan w:val="17"/>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6"/>
        </w:trPr>
        <w:tc>
          <w:tcPr>
            <w:tcW w:w="2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gridSpan w:val="17"/>
            <w:vMerge w:val="restart"/>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0" w:type="dxa"/>
            <w:vAlign w:val="bottom"/>
            <w:gridSpan w:val="17"/>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200" w:type="dxa"/>
            <w:vAlign w:val="bottom"/>
            <w:gridSpan w:val="17"/>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Liability for pension benefits (see </w:t>
            </w:r>
            <w:r>
              <w:rPr>
                <w:rFonts w:ascii="Arial" w:cs="Arial" w:eastAsia="Arial" w:hAnsi="Arial"/>
                <w:sz w:val="18"/>
                <w:szCs w:val="18"/>
                <w:color w:val="0000FF"/>
              </w:rPr>
              <w:t>Note M</w:t>
            </w:r>
            <w:r>
              <w:rPr>
                <w:rFonts w:ascii="Arial" w:cs="Arial" w:eastAsia="Arial" w:hAnsi="Arial"/>
                <w:sz w:val="18"/>
                <w:szCs w:val="18"/>
                <w:color w:val="auto"/>
              </w:rPr>
              <w:t>)</w:t>
            </w:r>
          </w:p>
        </w:tc>
        <w:tc>
          <w:tcPr>
            <w:tcW w:w="220" w:type="dxa"/>
            <w:vAlign w:val="bottom"/>
            <w:shd w:val="clear" w:color="auto" w:fill="CCEEFF"/>
          </w:tcPr>
          <w:p>
            <w:pPr>
              <w:jc w:val="right"/>
              <w:ind w:right="11"/>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200" w:type="dxa"/>
            <w:vAlign w:val="bottom"/>
            <w:gridSpan w:val="17"/>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stock-based compensation plans (see </w:t>
            </w:r>
            <w:r>
              <w:rPr>
                <w:rFonts w:ascii="Arial" w:cs="Arial" w:eastAsia="Arial" w:hAnsi="Arial"/>
                <w:sz w:val="18"/>
                <w:szCs w:val="18"/>
                <w:color w:val="0000FF"/>
              </w:rPr>
              <w:t>Note L</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60.6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Net reserves for tax contingencies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8"/>
        </w:trPr>
        <w:tc>
          <w:tcPr>
            <w:tcW w:w="9200" w:type="dxa"/>
            <w:vAlign w:val="bottom"/>
            <w:gridSpan w:val="17"/>
          </w:tcPr>
          <w:p>
            <w:pPr>
              <w:ind w:left="34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9200" w:type="dxa"/>
            <w:vAlign w:val="bottom"/>
            <w:gridSpan w:val="17"/>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J—Long-Term Debt</w:t>
      </w:r>
    </w:p>
    <w:p>
      <w:pPr>
        <w:spacing w:after="0" w:line="101" w:lineRule="exact"/>
        <w:rPr>
          <w:sz w:val="20"/>
          <w:szCs w:val="20"/>
          <w:color w:val="auto"/>
        </w:rPr>
      </w:pPr>
    </w:p>
    <w:p>
      <w:pPr>
        <w:ind w:right="80" w:firstLine="402"/>
        <w:spacing w:after="0" w:line="259" w:lineRule="auto"/>
        <w:rPr>
          <w:sz w:val="20"/>
          <w:szCs w:val="20"/>
          <w:color w:val="auto"/>
        </w:rPr>
      </w:pPr>
      <w:r>
        <w:rPr>
          <w:rFonts w:ascii="Arial" w:cs="Arial" w:eastAsia="Arial" w:hAnsi="Arial"/>
          <w:sz w:val="18"/>
          <w:szCs w:val="18"/>
          <w:color w:val="auto"/>
        </w:rPr>
        <w:t>Our multi-currency credit facility was amended in July 2025 and matures on July 24, 2030. It provides us the ability, from time to time, subject to certain restrictive covenants and customary conditions, to borrow, repay, and re-borrow up to $ 1,000.0 (previous to the amendment was $1,200.0). At December 31, 2025, we were in compliance with all of our debt covenants. Capitalized terms used in this section but not defined herein have the meanings set forth in the Credit Agreement.</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credit facility contains restrictive covenants, which include: (a) a Leverage Ratio requiring us to maintain, as of the last day of each</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fiscal quarter, (i) Consolidated Funded Indebtedness minus the lesser of: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Unrestricted Cash, or (B) $750.0 to (ii) Consolidated EBITDA for the four consecutive trailing quarters most recently ended on or prior to such date, such ratio not being greater than 3.50 to 1.00; provided however, subject to certain limitations, if we make a Material Acquisition, at our election, the maximum Leverage Ratio shall be 4.00 to 1.00 for the fiscal quarter during which such Material Acquisition is consummated and the next three consecutive fiscal quarters; (b) a limitation of the amount of total secured obligations to 15% of our total consolidated assets; and (c) a limitation on our ability to sell, lease, transfer, or dispose of all or substantially all of our assets and the assets of our subsidiaries, taken as a whole (other than accounts receivable sold in a Permitted Securitization Transaction, products sold in the ordinary course of business and our ability to sell, lease, transfer, or dispose of any of our assets or the assets of one of our subsidiaries to us or one of our subsidiaries, as applicable) at any given point in time.</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December 31, 2024, we repaid $300.0 of 3.80% Senior Notes.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 interest rates, and due dates at December 31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20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Year-end</w:t>
            </w: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Due Date</w:t>
            </w:r>
          </w:p>
        </w:tc>
        <w:tc>
          <w:tcPr>
            <w:tcW w:w="200" w:type="dxa"/>
            <w:vAlign w:val="bottom"/>
          </w:tcPr>
          <w:p>
            <w:pPr>
              <w:spacing w:after="0"/>
              <w:rPr>
                <w:sz w:val="12"/>
                <w:szCs w:val="12"/>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Year-end</w:t>
            </w: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Due Date</w:t>
            </w:r>
          </w:p>
        </w:tc>
        <w:tc>
          <w:tcPr>
            <w:tcW w:w="200" w:type="dxa"/>
            <w:vAlign w:val="bottom"/>
          </w:tcPr>
          <w:p>
            <w:pPr>
              <w:spacing w:after="0"/>
              <w:rPr>
                <w:sz w:val="12"/>
                <w:szCs w:val="12"/>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540" w:type="dxa"/>
            <w:vAlign w:val="bottom"/>
            <w:tcBorders>
              <w:top w:val="single" w:sz="8" w:color="CCEEFF"/>
            </w:tcBorders>
            <w:shd w:val="clear" w:color="auto" w:fill="CCEEFF"/>
          </w:tcPr>
          <w:p>
            <w:pPr>
              <w:ind w:left="20"/>
              <w:spacing w:after="0" w:line="221"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5"/>
                <w:szCs w:val="25"/>
                <w:b w:val="1"/>
                <w:bCs w:val="1"/>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Senior Notes </w:t>
            </w:r>
            <w:r>
              <w:rPr>
                <w:rFonts w:ascii="Arial" w:cs="Arial" w:eastAsia="Arial" w:hAnsi="Arial"/>
                <w:sz w:val="26"/>
                <w:szCs w:val="26"/>
                <w:b w:val="1"/>
                <w:bCs w:val="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Industrial development bonds - variable interest rates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Commercial paper </w:t>
            </w:r>
            <w:r>
              <w:rPr>
                <w:rFonts w:ascii="Arial" w:cs="Arial" w:eastAsia="Arial" w:hAnsi="Arial"/>
                <w:sz w:val="26"/>
                <w:szCs w:val="26"/>
                <w:b w:val="1"/>
                <w:bCs w:val="1"/>
                <w:color w:val="auto"/>
                <w:vertAlign w:val="superscript"/>
              </w:rPr>
              <w:t>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partially secured</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discounts and deferred loan costs</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1"/>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0" w:type="dxa"/>
            <w:vAlign w:val="bottom"/>
          </w:tcPr>
          <w:p>
            <w:pPr>
              <w:spacing w:after="0"/>
              <w:rPr>
                <w:sz w:val="1"/>
                <w:szCs w:val="1"/>
                <w:color w:val="auto"/>
              </w:rPr>
            </w:pPr>
          </w:p>
        </w:tc>
      </w:tr>
      <w:tr>
        <w:trPr>
          <w:trHeight w:val="22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6"/>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1,496.2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00" w:hanging="151"/>
        <w:spacing w:after="0" w:line="238" w:lineRule="auto"/>
        <w:tabs>
          <w:tab w:leader="none" w:pos="366" w:val="left"/>
        </w:tabs>
        <w:numPr>
          <w:ilvl w:val="0"/>
          <w:numId w:val="72"/>
        </w:numPr>
        <w:rPr>
          <w:rFonts w:ascii="Arial" w:cs="Arial" w:eastAsia="Arial" w:hAnsi="Arial"/>
          <w:sz w:val="28"/>
          <w:szCs w:val="28"/>
          <w:b w:val="1"/>
          <w:bCs w:val="1"/>
          <w:color w:val="auto"/>
          <w:vertAlign w:val="superscript"/>
        </w:rPr>
      </w:pPr>
      <w:r>
        <w:rPr>
          <w:rFonts w:ascii="Arial" w:cs="Arial" w:eastAsia="Arial" w:hAnsi="Arial"/>
          <w:sz w:val="18"/>
          <w:szCs w:val="18"/>
          <w:color w:val="auto"/>
        </w:rPr>
        <w:t>Senior notes are unsecured and unsubordinated obligations. For each of the senior notes: (i) interest is paid semi-annually in arrears; (ii) principal is due at maturity with no sinking fund; and (iii) we may, at our option, at any time, redeem all or a portion of any of the debt at a make-whole redemption price equal to the greater of: (a) 100% of the principal amount of the notes being redeemed; and (b) the sum of the present values of the remaining scheduled payments of principal and interest thereon to the "par call date," discounted to the date of redemption on a semi-annual basis (assuming a 360-day year consisting of twelve 30-day months) at a specified discount rate, determined by the terms of each respective note. The senior notes may also be redeemed by us within 90 days of maturity (or within 180 days of maturity for the notes maturing in 2051) at 100% of the principal amount plus accrued and unpaid interest, and we are required to offer to purchase such notes at 101% of the principal amount, plus accrued and unpaid interest, if we experience a Change of Control Repurchase Event, as defined in the Senior Notes. Also, each respective senior note contains restrictive covenants, including a limitation on secured debt of 15% of our consolidated assets, a limitation on sale and leaseback transactions, and a limitation on certain consolidations, mergers, and sales of assets.</w:t>
      </w:r>
    </w:p>
    <w:p>
      <w:pPr>
        <w:spacing w:after="0" w:line="68" w:lineRule="exact"/>
        <w:rPr>
          <w:sz w:val="20"/>
          <w:szCs w:val="20"/>
          <w:color w:val="auto"/>
        </w:rPr>
      </w:pPr>
    </w:p>
    <w:p>
      <w:pPr>
        <w:ind w:left="400" w:right="60" w:hanging="151"/>
        <w:spacing w:after="0" w:line="228" w:lineRule="auto"/>
        <w:tabs>
          <w:tab w:leader="none" w:pos="366" w:val="left"/>
        </w:tabs>
        <w:numPr>
          <w:ilvl w:val="0"/>
          <w:numId w:val="73"/>
        </w:numPr>
        <w:rPr>
          <w:rFonts w:ascii="Arial" w:cs="Arial" w:eastAsia="Arial" w:hAnsi="Arial"/>
          <w:sz w:val="28"/>
          <w:szCs w:val="28"/>
          <w:b w:val="1"/>
          <w:bCs w:val="1"/>
          <w:color w:val="auto"/>
          <w:vertAlign w:val="superscript"/>
        </w:rPr>
      </w:pPr>
      <w:r>
        <w:rPr>
          <w:rFonts w:ascii="Arial" w:cs="Arial" w:eastAsia="Arial" w:hAnsi="Arial"/>
          <w:sz w:val="18"/>
          <w:szCs w:val="18"/>
          <w:color w:val="auto"/>
        </w:rPr>
        <w:t>The weighted average interest rate for the net commercial paper activity during the years ended December 31, 2025 and 2024 was 5.0% and 5.6%, respectively. We view the notes as a source of long-term funds and have classified the borrowings under the commercial paper program as long-term borrowings on our balance sheet. We have the intent to roll over such obligations on a long-term basis and have the ability to refinance these borrowings on a long-term basis, as evidenced by our $1,000.0 revolving credit facility maturing in 2030 discussed above.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Maturities are as follows:</w:t>
      </w:r>
    </w:p>
    <w:p>
      <w:pPr>
        <w:spacing w:after="0" w:line="147" w:lineRule="exact"/>
        <w:rPr>
          <w:sz w:val="20"/>
          <w:szCs w:val="20"/>
          <w:color w:val="auto"/>
        </w:rPr>
      </w:pPr>
    </w:p>
    <w:tbl>
      <w:tblPr>
        <w:tblLayout w:type="fixed"/>
        <w:tblInd w:w="3460" w:type="dxa"/>
        <w:tblCellMar>
          <w:top w:w="0" w:type="dxa"/>
          <w:left w:w="0" w:type="dxa"/>
          <w:bottom w:w="0" w:type="dxa"/>
          <w:right w:w="0" w:type="dxa"/>
        </w:tblCellMar>
      </w:tblPr>
      <w:tr>
        <w:trPr>
          <w:trHeight w:val="228"/>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3620" w:type="dxa"/>
            <w:vAlign w:val="bottom"/>
          </w:tcPr>
          <w:p>
            <w:pPr>
              <w:ind w:left="34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501.6</w:t>
            </w:r>
          </w:p>
        </w:tc>
      </w:tr>
      <w:tr>
        <w:trPr>
          <w:trHeight w:val="228"/>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3620" w:type="dxa"/>
            <w:vAlign w:val="bottom"/>
          </w:tcPr>
          <w:p>
            <w:pPr>
              <w:ind w:left="340"/>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498.0</w:t>
            </w:r>
          </w:p>
        </w:tc>
      </w:tr>
      <w:tr>
        <w:trPr>
          <w:trHeight w:val="228"/>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2030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3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r>
      <w:tr>
        <w:trPr>
          <w:trHeight w:val="246"/>
        </w:trPr>
        <w:tc>
          <w:tcPr>
            <w:tcW w:w="36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our commercial paper program at December 31 are presented in the table below:</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r>
      <w:tr>
        <w:trPr>
          <w:trHeight w:val="222"/>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authorized program</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28"/>
        </w:trPr>
        <w:tc>
          <w:tcPr>
            <w:tcW w:w="5900" w:type="dxa"/>
            <w:vAlign w:val="bottom"/>
          </w:tcPr>
          <w:p>
            <w:pPr>
              <w:ind w:left="120"/>
              <w:spacing w:after="0"/>
              <w:rPr>
                <w:sz w:val="20"/>
                <w:szCs w:val="20"/>
                <w:color w:val="auto"/>
              </w:rPr>
            </w:pPr>
            <w:r>
              <w:rPr>
                <w:rFonts w:ascii="Arial" w:cs="Arial" w:eastAsia="Arial" w:hAnsi="Arial"/>
                <w:sz w:val="18"/>
                <w:szCs w:val="18"/>
                <w:color w:val="auto"/>
              </w:rPr>
              <w:t>Commercial paper outstanding (classified as long-term debt)</w:t>
            </w:r>
          </w:p>
        </w:tc>
        <w:tc>
          <w:tcPr>
            <w:tcW w:w="3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368.0</w:t>
            </w:r>
          </w:p>
        </w:tc>
      </w:tr>
      <w:tr>
        <w:trPr>
          <w:trHeight w:val="228"/>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Letters of credit issued under the credit agreement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Amount limited by restrictive covenants of credit facility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r>
      <w:tr>
        <w:trPr>
          <w:trHeight w:val="246"/>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program available</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At December 31, 2025, subject to restrictive covenants, we could raise cash by issuing commercial paper through a program that is backed by a $1,000.0 revolving credit facility with a syndicate of 10 lenders. The credit facility allows us to issue total letters of credit up to $125.0. When we issue letters of credit in this manner, our capacity under the revolving facility, and consequently, our ability to issue commercial paper, is reduced by a corresponding amount. We had no outstanding letters of credit under the facility at year end for the periods presented, but we had issued $93.2 and $61.4 at December 31, 2025 and 2024, respectively, of stand-by letters of credit under other bank agreements to take advantage of better pricing. Our borrowing capacity may be limited by covenants to our credit facility. At December 31, 2025, our borrowing capacity under the credit facility was $709.0.</w:t>
      </w:r>
    </w:p>
    <w:p>
      <w:pPr>
        <w:spacing w:after="0" w:line="62" w:lineRule="exact"/>
        <w:rPr>
          <w:sz w:val="20"/>
          <w:szCs w:val="20"/>
          <w:color w:val="auto"/>
        </w:rPr>
      </w:pPr>
    </w:p>
    <w:p>
      <w:pPr>
        <w:ind w:right="120" w:firstLine="442"/>
        <w:spacing w:after="0" w:line="265" w:lineRule="auto"/>
        <w:rPr>
          <w:sz w:val="20"/>
          <w:szCs w:val="20"/>
          <w:color w:val="auto"/>
        </w:rPr>
      </w:pPr>
      <w:r>
        <w:rPr>
          <w:rFonts w:ascii="Arial" w:cs="Arial" w:eastAsia="Arial" w:hAnsi="Arial"/>
          <w:sz w:val="18"/>
          <w:szCs w:val="18"/>
          <w:color w:val="auto"/>
        </w:rPr>
        <w:t>Generally, we may elect one of five types of borrowing under the revolving credit facility, which determines the rate of interest to be paid on the outstanding principal balance. The interest rate would typically be commensurate with the currency borrowed and the term of the borrowing, as well as either (i) a competitive variable or fixed rate or (ii) various published rates plus a pre-defined spread.</w:t>
      </w:r>
    </w:p>
    <w:p>
      <w:pPr>
        <w:spacing w:after="0" w:line="38" w:lineRule="exact"/>
        <w:rPr>
          <w:sz w:val="20"/>
          <w:szCs w:val="20"/>
          <w:color w:val="auto"/>
        </w:rPr>
      </w:pPr>
    </w:p>
    <w:p>
      <w:pPr>
        <w:ind w:firstLine="442"/>
        <w:spacing w:after="0" w:line="259" w:lineRule="auto"/>
        <w:rPr>
          <w:sz w:val="20"/>
          <w:szCs w:val="20"/>
          <w:color w:val="auto"/>
        </w:rPr>
      </w:pPr>
      <w:r>
        <w:rPr>
          <w:rFonts w:ascii="Arial" w:cs="Arial" w:eastAsia="Arial" w:hAnsi="Arial"/>
          <w:sz w:val="18"/>
          <w:szCs w:val="18"/>
          <w:color w:val="auto"/>
        </w:rPr>
        <w:t>We are required periodically to pay accrued interest on any outstanding principal balance under the revolving credit facility at different time intervals based upon the elected interest rate and the elected interest period. Any outstanding principal under this facility will be due upon the maturity date. We may also terminate or reduce the lending commitments under this facility, in whole or in part, upon three business days’ notice. No amounts were outstanding under the revolving credit facility at December 31, 2025 and 2024.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K—Lease Obligations</w:t>
      </w:r>
    </w:p>
    <w:p>
      <w:pPr>
        <w:spacing w:after="0" w:line="88" w:lineRule="exact"/>
        <w:rPr>
          <w:sz w:val="20"/>
          <w:szCs w:val="20"/>
          <w:color w:val="auto"/>
        </w:rPr>
      </w:pPr>
    </w:p>
    <w:p>
      <w:pPr>
        <w:ind w:right="180" w:firstLine="402"/>
        <w:spacing w:after="0" w:line="259" w:lineRule="auto"/>
        <w:rPr>
          <w:sz w:val="20"/>
          <w:szCs w:val="20"/>
          <w:color w:val="auto"/>
        </w:rPr>
      </w:pPr>
      <w:r>
        <w:rPr>
          <w:rFonts w:ascii="Arial" w:cs="Arial" w:eastAsia="Arial" w:hAnsi="Arial"/>
          <w:sz w:val="18"/>
          <w:szCs w:val="18"/>
          <w:color w:val="auto"/>
        </w:rPr>
        <w:t>Substantially all of our operating lease right-of-use assets and operating lease liabilities represent leases for certain operating facilities, warehouses, office space, trucking equipment, and various other assets. Finance lease balances consist of vehicle and certain equipment leases. Our leases have terms that expire at various dates through 2039, some of which include options to extend or terminate the leases at our discretion.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6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1120" w:type="dxa"/>
            <w:vAlign w:val="bottom"/>
          </w:tcPr>
          <w:p>
            <w:pPr>
              <w:spacing w:after="0"/>
              <w:rPr>
                <w:sz w:val="19"/>
                <w:szCs w:val="19"/>
                <w:color w:val="auto"/>
              </w:rPr>
            </w:pPr>
          </w:p>
        </w:tc>
        <w:tc>
          <w:tcPr>
            <w:tcW w:w="620" w:type="dxa"/>
            <w:vAlign w:val="bottom"/>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51.5</w:t>
            </w:r>
          </w:p>
        </w:tc>
        <w:tc>
          <w:tcPr>
            <w:tcW w:w="100" w:type="dxa"/>
            <w:vAlign w:val="bottom"/>
          </w:tcPr>
          <w:p>
            <w:pPr>
              <w:spacing w:after="0"/>
              <w:rPr>
                <w:sz w:val="19"/>
                <w:szCs w:val="19"/>
                <w:color w:val="auto"/>
              </w:rPr>
            </w:pPr>
          </w:p>
        </w:tc>
        <w:tc>
          <w:tcPr>
            <w:tcW w:w="600" w:type="dxa"/>
            <w:vAlign w:val="bottom"/>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460"/>
              <w:spacing w:after="0"/>
              <w:rPr>
                <w:sz w:val="20"/>
                <w:szCs w:val="20"/>
                <w:color w:val="auto"/>
              </w:rPr>
            </w:pPr>
            <w:r>
              <w:rPr>
                <w:rFonts w:ascii="Arial" w:cs="Arial" w:eastAsia="Arial" w:hAnsi="Arial"/>
                <w:sz w:val="18"/>
                <w:szCs w:val="18"/>
                <w:color w:val="auto"/>
              </w:rPr>
              <w:t>Total operating lease liabilities</w:t>
            </w:r>
          </w:p>
        </w:tc>
        <w:tc>
          <w:tcPr>
            <w:tcW w:w="1120" w:type="dxa"/>
            <w:vAlign w:val="bottom"/>
          </w:tcPr>
          <w:p>
            <w:pPr>
              <w:spacing w:after="0"/>
              <w:rPr>
                <w:sz w:val="19"/>
                <w:szCs w:val="19"/>
                <w:color w:val="auto"/>
              </w:rPr>
            </w:pPr>
          </w:p>
        </w:tc>
        <w:tc>
          <w:tcPr>
            <w:tcW w:w="6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158.2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debt</w:t>
            </w:r>
          </w:p>
        </w:tc>
        <w:tc>
          <w:tcPr>
            <w:tcW w:w="1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finance lease liabilities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lease expense were as follows:</w:t>
            </w:r>
          </w:p>
        </w:tc>
        <w:tc>
          <w:tcPr>
            <w:tcW w:w="1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98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costs:</w:t>
            </w:r>
          </w:p>
        </w:tc>
        <w:tc>
          <w:tcPr>
            <w:tcW w:w="1120" w:type="dxa"/>
            <w:vAlign w:val="bottom"/>
          </w:tcPr>
          <w:p>
            <w:pPr>
              <w:jc w:val="right"/>
              <w:ind w:right="13"/>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460" w:type="dxa"/>
            <w:vAlign w:val="bottom"/>
            <w:gridSpan w:val="2"/>
            <w:vMerge w:val="continue"/>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costs</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61.8</w:t>
            </w:r>
          </w:p>
        </w:tc>
        <w:tc>
          <w:tcPr>
            <w:tcW w:w="1120" w:type="dxa"/>
            <w:vAlign w:val="bottom"/>
            <w:gridSpan w:val="2"/>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Variable lease costs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6"/>
        </w:trPr>
        <w:tc>
          <w:tcPr>
            <w:tcW w:w="520" w:type="dxa"/>
            <w:vAlign w:val="bottom"/>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lease costs</w:t>
            </w: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79.2</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w:t>
            </w:r>
          </w:p>
        </w:tc>
        <w:tc>
          <w:tcPr>
            <w:tcW w:w="1120" w:type="dxa"/>
            <w:vAlign w:val="bottom"/>
            <w:gridSpan w:val="2"/>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b w:val="1"/>
                <w:bCs w:val="1"/>
                <w:color w:val="auto"/>
              </w:rPr>
              <w:t>1.4</w:t>
            </w:r>
          </w:p>
        </w:tc>
        <w:tc>
          <w:tcPr>
            <w:tcW w:w="11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finance lease costs</w:t>
            </w:r>
          </w:p>
        </w:tc>
        <w:tc>
          <w:tcPr>
            <w:tcW w:w="112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lease costs</w:t>
            </w:r>
          </w:p>
        </w:tc>
        <w:tc>
          <w:tcPr>
            <w:tcW w:w="1120" w:type="dxa"/>
            <w:vAlign w:val="bottom"/>
          </w:tcPr>
          <w:p>
            <w:pPr>
              <w:jc w:val="right"/>
              <w:ind w:right="913"/>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b w:val="1"/>
                <w:bCs w:val="1"/>
                <w:color w:val="auto"/>
              </w:rPr>
              <w:t>87.0</w:t>
            </w:r>
          </w:p>
        </w:tc>
        <w:tc>
          <w:tcPr>
            <w:tcW w:w="112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40" w:firstLine="402"/>
        <w:spacing w:after="0" w:line="282" w:lineRule="auto"/>
        <w:rPr>
          <w:sz w:val="20"/>
          <w:szCs w:val="20"/>
          <w:color w:val="auto"/>
        </w:rPr>
      </w:pPr>
      <w:r>
        <w:rPr>
          <w:rFonts w:ascii="Arial" w:cs="Arial" w:eastAsia="Arial" w:hAnsi="Arial"/>
          <w:sz w:val="18"/>
          <w:szCs w:val="18"/>
          <w:color w:val="auto"/>
        </w:rPr>
        <w:t>Variable lease costs consist primarily of taxes, insurance, and common-area or other maintenance costs for our leased facilities and equipment, which are paid based on actual costs incurred by the lessor.</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194"/>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8"/>
        </w:trPr>
        <w:tc>
          <w:tcPr>
            <w:tcW w:w="79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8"/>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79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8"/>
        </w:trPr>
        <w:tc>
          <w:tcPr>
            <w:tcW w:w="7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807"/>
        </w:trPr>
        <w:tc>
          <w:tcPr>
            <w:tcW w:w="7960" w:type="dxa"/>
            <w:vAlign w:val="bottom"/>
          </w:tcPr>
          <w:p>
            <w:pPr>
              <w:ind w:left="548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2"/>
        </w:trPr>
        <w:tc>
          <w:tcPr>
            <w:tcW w:w="7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firstLine="402"/>
        <w:spacing w:after="0" w:line="277" w:lineRule="auto"/>
        <w:rPr>
          <w:sz w:val="20"/>
          <w:szCs w:val="20"/>
          <w:color w:val="auto"/>
        </w:rPr>
      </w:pPr>
      <w:r>
        <w:rPr>
          <w:rFonts w:ascii="Arial" w:cs="Arial" w:eastAsia="Arial" w:hAnsi="Arial"/>
          <w:sz w:val="18"/>
          <w:szCs w:val="18"/>
          <w:color w:val="auto"/>
        </w:rPr>
        <w:t>The following table reconciles the undiscounted cash flows for the operating and finance leases at December 31, 2025 to the operating and finance lease liabilities recorded on the Consolidated Balance Sheets: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4"/>
          </w:tcPr>
          <w:p>
            <w:pPr>
              <w:jc w:val="right"/>
              <w:ind w:right="1232"/>
              <w:spacing w:after="0"/>
              <w:rPr>
                <w:sz w:val="20"/>
                <w:szCs w:val="20"/>
                <w:color w:val="auto"/>
              </w:rPr>
            </w:pPr>
            <w:r>
              <w:rPr>
                <w:rFonts w:ascii="Arial" w:cs="Arial" w:eastAsia="Arial" w:hAnsi="Arial"/>
                <w:sz w:val="14"/>
                <w:szCs w:val="14"/>
                <w:b w:val="1"/>
                <w:bCs w:val="1"/>
                <w:color w:val="auto"/>
              </w:rPr>
              <w:t>December 31, 2025</w:t>
            </w:r>
          </w:p>
        </w:tc>
      </w:tr>
      <w:tr>
        <w:trPr>
          <w:trHeight w:val="194"/>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620" w:type="dxa"/>
            <w:vAlign w:val="bottom"/>
          </w:tcPr>
          <w:p>
            <w:pPr>
              <w:jc w:val="right"/>
              <w:ind w:right="332"/>
              <w:spacing w:after="0"/>
              <w:rPr>
                <w:sz w:val="20"/>
                <w:szCs w:val="20"/>
                <w:color w:val="auto"/>
              </w:rPr>
            </w:pPr>
            <w:r>
              <w:rPr>
                <w:rFonts w:ascii="Arial" w:cs="Arial" w:eastAsia="Arial" w:hAnsi="Arial"/>
                <w:sz w:val="14"/>
                <w:szCs w:val="14"/>
                <w:b w:val="1"/>
                <w:bCs w:val="1"/>
                <w:color w:val="auto"/>
              </w:rPr>
              <w:t>Finance Leases</w:t>
            </w:r>
          </w:p>
        </w:tc>
      </w:tr>
      <w:tr>
        <w:trPr>
          <w:trHeight w:val="222"/>
        </w:trPr>
        <w:tc>
          <w:tcPr>
            <w:tcW w:w="48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55.9</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w:t>
            </w:r>
          </w:p>
        </w:tc>
      </w:tr>
      <w:tr>
        <w:trPr>
          <w:trHeight w:val="228"/>
        </w:trPr>
        <w:tc>
          <w:tcPr>
            <w:tcW w:w="4840" w:type="dxa"/>
            <w:vAlign w:val="bottom"/>
          </w:tcPr>
          <w:p>
            <w:pPr>
              <w:ind w:left="34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640" w:type="dxa"/>
            <w:vAlign w:val="bottom"/>
          </w:tcPr>
          <w:p>
            <w:pPr>
              <w:jc w:val="right"/>
              <w:ind w:right="153"/>
              <w:spacing w:after="0"/>
              <w:rPr>
                <w:sz w:val="20"/>
                <w:szCs w:val="20"/>
                <w:color w:val="auto"/>
              </w:rPr>
            </w:pPr>
            <w:r>
              <w:rPr>
                <w:rFonts w:ascii="Arial" w:cs="Arial" w:eastAsia="Arial" w:hAnsi="Arial"/>
                <w:sz w:val="18"/>
                <w:szCs w:val="18"/>
                <w:b w:val="1"/>
                <w:bCs w:val="1"/>
                <w:color w:val="auto"/>
              </w:rPr>
              <w:t>44.8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b w:val="1"/>
                <w:bCs w:val="1"/>
                <w:color w:val="auto"/>
              </w:rPr>
              <w:t>1.3</w:t>
            </w:r>
          </w:p>
        </w:tc>
      </w:tr>
      <w:tr>
        <w:trPr>
          <w:trHeight w:val="228"/>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26.7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w:t>
            </w:r>
          </w:p>
        </w:tc>
      </w:tr>
      <w:tr>
        <w:trPr>
          <w:trHeight w:val="228"/>
        </w:trPr>
        <w:tc>
          <w:tcPr>
            <w:tcW w:w="4840" w:type="dxa"/>
            <w:vAlign w:val="bottom"/>
          </w:tcPr>
          <w:p>
            <w:pPr>
              <w:ind w:left="34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1640" w:type="dxa"/>
            <w:vAlign w:val="bottom"/>
          </w:tcPr>
          <w:p>
            <w:pPr>
              <w:jc w:val="right"/>
              <w:ind w:right="153"/>
              <w:spacing w:after="0"/>
              <w:rPr>
                <w:sz w:val="20"/>
                <w:szCs w:val="20"/>
                <w:color w:val="auto"/>
              </w:rPr>
            </w:pPr>
            <w:r>
              <w:rPr>
                <w:rFonts w:ascii="Arial" w:cs="Arial" w:eastAsia="Arial" w:hAnsi="Arial"/>
                <w:sz w:val="18"/>
                <w:szCs w:val="18"/>
                <w:b w:val="1"/>
                <w:bCs w:val="1"/>
                <w:color w:val="auto"/>
              </w:rPr>
              <w:t>18.7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b w:val="1"/>
                <w:bCs w:val="1"/>
                <w:color w:val="auto"/>
              </w:rPr>
              <w:t>.3</w:t>
            </w:r>
          </w:p>
        </w:tc>
      </w:tr>
      <w:tr>
        <w:trPr>
          <w:trHeight w:val="228"/>
        </w:trPr>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11.4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28"/>
        </w:trPr>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10.1</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21"/>
        </w:trPr>
        <w:tc>
          <w:tcPr>
            <w:tcW w:w="4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167.6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w:t>
            </w:r>
          </w:p>
        </w:tc>
      </w:tr>
      <w:tr>
        <w:trPr>
          <w:trHeight w:val="228"/>
        </w:trPr>
        <w:tc>
          <w:tcPr>
            <w:tcW w:w="4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9.4</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w:t>
            </w:r>
          </w:p>
        </w:tc>
      </w:tr>
      <w:tr>
        <w:trPr>
          <w:trHeight w:val="246"/>
        </w:trPr>
        <w:tc>
          <w:tcPr>
            <w:tcW w:w="48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Lease liability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158.2</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2.9</w:t>
            </w:r>
          </w:p>
        </w:tc>
      </w:tr>
      <w:tr>
        <w:trPr>
          <w:trHeight w:val="246"/>
        </w:trPr>
        <w:tc>
          <w:tcPr>
            <w:tcW w:w="48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L—Stock-Based Compensation</w:t>
      </w:r>
    </w:p>
    <w:p>
      <w:pPr>
        <w:spacing w:after="0" w:line="101" w:lineRule="exact"/>
        <w:rPr>
          <w:sz w:val="20"/>
          <w:szCs w:val="20"/>
          <w:color w:val="auto"/>
        </w:rPr>
      </w:pPr>
    </w:p>
    <w:p>
      <w:pPr>
        <w:ind w:right="160" w:firstLine="402"/>
        <w:spacing w:after="0" w:line="265" w:lineRule="auto"/>
        <w:rPr>
          <w:sz w:val="20"/>
          <w:szCs w:val="20"/>
          <w:color w:val="auto"/>
        </w:rPr>
      </w:pPr>
      <w:r>
        <w:rPr>
          <w:rFonts w:ascii="Arial" w:cs="Arial" w:eastAsia="Arial" w:hAnsi="Arial"/>
          <w:sz w:val="18"/>
          <w:szCs w:val="18"/>
          <w:color w:val="auto"/>
        </w:rPr>
        <w:t>We use various forms of share-based compensation, which are summarized below. One stock unit is equivalent to one common share for accounting and earnings-per-share purposes. Shares are issued from treasury for the majority of our stock plans’ activity. All share information is presented in millions.</w:t>
      </w:r>
    </w:p>
    <w:p>
      <w:pPr>
        <w:spacing w:after="0" w:line="38" w:lineRule="exact"/>
        <w:rPr>
          <w:sz w:val="20"/>
          <w:szCs w:val="20"/>
          <w:color w:val="auto"/>
        </w:rPr>
      </w:pPr>
    </w:p>
    <w:p>
      <w:pPr>
        <w:jc w:val="both"/>
        <w:ind w:firstLine="402"/>
        <w:spacing w:after="0" w:line="265" w:lineRule="auto"/>
        <w:rPr>
          <w:sz w:val="20"/>
          <w:szCs w:val="20"/>
          <w:color w:val="auto"/>
        </w:rPr>
      </w:pPr>
      <w:r>
        <w:rPr>
          <w:rFonts w:ascii="Arial" w:cs="Arial" w:eastAsia="Arial" w:hAnsi="Arial"/>
          <w:sz w:val="18"/>
          <w:szCs w:val="18"/>
          <w:color w:val="auto"/>
        </w:rPr>
        <w:t>Stock options and stock units are available for grant pursuant to our Flexible Stock Plan (the "Plan"). On May 8, 2024, the Flexible Stock Plan changed the way awards granted under the plan are charged against the number of available shares. Under the 2024 Plan modification, shares issued pursuant to an award will count as one share against the shares available under the Plan.</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December 31, 2025, the following common shares were authorized for issuance under the Plan:</w:t>
      </w:r>
    </w:p>
    <w:p>
      <w:pPr>
        <w:spacing w:after="0" w:line="57" w:lineRule="exact"/>
        <w:rPr>
          <w:sz w:val="20"/>
          <w:szCs w:val="20"/>
          <w:color w:val="auto"/>
        </w:rPr>
      </w:pPr>
    </w:p>
    <w:tbl>
      <w:tblPr>
        <w:tblLayout w:type="fixed"/>
        <w:tblInd w:w="2600" w:type="dxa"/>
        <w:tblCellMar>
          <w:top w:w="0" w:type="dxa"/>
          <w:left w:w="0" w:type="dxa"/>
          <w:bottom w:w="0" w:type="dxa"/>
          <w:right w:w="0" w:type="dxa"/>
        </w:tblCellMar>
      </w:tblPr>
      <w:tr>
        <w:trPr>
          <w:trHeight w:val="196"/>
        </w:trPr>
        <w:tc>
          <w:tcPr>
            <w:tcW w:w="4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Common Shares</w:t>
            </w:r>
          </w:p>
        </w:tc>
      </w:tr>
      <w:tr>
        <w:trPr>
          <w:trHeight w:val="222"/>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Unexercised options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8"/>
        </w:trPr>
        <w:tc>
          <w:tcPr>
            <w:tcW w:w="4900" w:type="dxa"/>
            <w:vAlign w:val="bottom"/>
          </w:tcPr>
          <w:p>
            <w:pPr>
              <w:ind w:left="40"/>
              <w:spacing w:after="0"/>
              <w:rPr>
                <w:sz w:val="20"/>
                <w:szCs w:val="20"/>
                <w:color w:val="auto"/>
              </w:rPr>
            </w:pPr>
            <w:r>
              <w:rPr>
                <w:rFonts w:ascii="Arial" w:cs="Arial" w:eastAsia="Arial" w:hAnsi="Arial"/>
                <w:sz w:val="18"/>
                <w:szCs w:val="18"/>
                <w:color w:val="auto"/>
              </w:rPr>
              <w:t>Outstanding stock units—vested</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28"/>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stock units—unvested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28"/>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Available for grant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r>
      <w:tr>
        <w:trPr>
          <w:trHeight w:val="24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Authorized for issuance at December 31,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impact of stock-based compensation on the results of operations for each of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0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To Be Settled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7"/>
              </w:rPr>
              <w:t>To Be</w:t>
            </w: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 Be Settled</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7"/>
              </w:rPr>
              <w:t>To Be</w:t>
            </w:r>
          </w:p>
        </w:tc>
        <w:tc>
          <w:tcPr>
            <w:tcW w:w="12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To Be Settled</w:t>
            </w:r>
          </w:p>
        </w:tc>
        <w:tc>
          <w:tcPr>
            <w:tcW w:w="120" w:type="dxa"/>
            <w:vAlign w:val="bottom"/>
          </w:tcPr>
          <w:p>
            <w:pPr>
              <w:spacing w:after="0"/>
              <w:rPr>
                <w:sz w:val="12"/>
                <w:szCs w:val="12"/>
                <w:color w:val="auto"/>
              </w:rPr>
            </w:pPr>
          </w:p>
        </w:tc>
        <w:tc>
          <w:tcPr>
            <w:tcW w:w="780" w:type="dxa"/>
            <w:vAlign w:val="bottom"/>
          </w:tcPr>
          <w:p>
            <w:pPr>
              <w:jc w:val="center"/>
              <w:ind w:right="36"/>
              <w:spacing w:after="0" w:line="146" w:lineRule="exact"/>
              <w:rPr>
                <w:sz w:val="20"/>
                <w:szCs w:val="20"/>
                <w:color w:val="auto"/>
              </w:rPr>
            </w:pPr>
            <w:r>
              <w:rPr>
                <w:rFonts w:ascii="Arial" w:cs="Arial" w:eastAsia="Arial" w:hAnsi="Arial"/>
                <w:sz w:val="14"/>
                <w:szCs w:val="14"/>
                <w:b w:val="1"/>
                <w:bCs w:val="1"/>
                <w:color w:val="auto"/>
                <w:w w:val="97"/>
              </w:rPr>
              <w:t>To Be</w:t>
            </w: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Settled In</w:t>
            </w: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Settled In</w:t>
            </w: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3" w:lineRule="exact"/>
              <w:rPr>
                <w:sz w:val="20"/>
                <w:szCs w:val="20"/>
                <w:color w:val="auto"/>
              </w:rPr>
            </w:pPr>
            <w:r>
              <w:rPr>
                <w:rFonts w:ascii="Arial" w:cs="Arial" w:eastAsia="Arial" w:hAnsi="Arial"/>
                <w:sz w:val="14"/>
                <w:szCs w:val="14"/>
                <w:b w:val="1"/>
                <w:bCs w:val="1"/>
                <w:color w:val="auto"/>
              </w:rPr>
              <w:t>Settled In</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With Stock</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Cash</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With Stock</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Cash</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With Stock</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Cash</w:t>
            </w:r>
          </w:p>
        </w:tc>
        <w:tc>
          <w:tcPr>
            <w:tcW w:w="0" w:type="dxa"/>
            <w:vAlign w:val="bottom"/>
          </w:tcPr>
          <w:p>
            <w:pPr>
              <w:spacing w:after="0"/>
              <w:rPr>
                <w:sz w:val="1"/>
                <w:szCs w:val="1"/>
                <w:color w:val="auto"/>
              </w:rPr>
            </w:pPr>
          </w:p>
        </w:tc>
      </w:tr>
      <w:tr>
        <w:trPr>
          <w:trHeight w:val="154"/>
        </w:trPr>
        <w:tc>
          <w:tcPr>
            <w:tcW w:w="47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Executive Stock Unit (ESU) program matching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1"/>
        </w:trPr>
        <w:tc>
          <w:tcPr>
            <w:tcW w:w="4760" w:type="dxa"/>
            <w:vAlign w:val="bottom"/>
            <w:shd w:val="clear" w:color="auto" w:fill="CCEEFF"/>
          </w:tcPr>
          <w:p>
            <w:pPr>
              <w:ind w:left="20"/>
              <w:spacing w:after="0" w:line="241" w:lineRule="exact"/>
              <w:rPr>
                <w:sz w:val="20"/>
                <w:szCs w:val="20"/>
                <w:color w:val="auto"/>
              </w:rPr>
            </w:pPr>
            <w:r>
              <w:rPr>
                <w:rFonts w:ascii="Arial" w:cs="Arial" w:eastAsia="Arial" w:hAnsi="Arial"/>
                <w:sz w:val="18"/>
                <w:szCs w:val="18"/>
                <w:color w:val="auto"/>
              </w:rPr>
              <w:t xml:space="preserve">contributions </w:t>
            </w:r>
            <w:r>
              <w:rPr>
                <w:rFonts w:ascii="Arial" w:cs="Arial" w:eastAsia="Arial" w:hAnsi="Arial"/>
                <w:sz w:val="27"/>
                <w:szCs w:val="27"/>
                <w:b w:val="1"/>
                <w:bCs w:val="1"/>
                <w:color w:val="auto"/>
                <w:vertAlign w:val="superscript"/>
              </w:rPr>
              <w:t>1</w:t>
            </w:r>
          </w:p>
        </w:tc>
        <w:tc>
          <w:tcPr>
            <w:tcW w:w="1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Arial" w:cs="Arial" w:eastAsia="Arial" w:hAnsi="Arial"/>
                <w:sz w:val="18"/>
                <w:szCs w:val="18"/>
                <w:color w:val="auto"/>
              </w:rPr>
              <w:t>Discounts on various stock awards: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Deferred Stock Compensation Program </w:t>
            </w:r>
            <w:r>
              <w:rPr>
                <w:rFonts w:ascii="Arial" w:cs="Arial" w:eastAsia="Arial" w:hAnsi="Arial"/>
                <w:sz w:val="26"/>
                <w:szCs w:val="26"/>
                <w:b w:val="1"/>
                <w:bCs w:val="1"/>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340"/>
              <w:spacing w:after="0" w:line="227" w:lineRule="exact"/>
              <w:rPr>
                <w:sz w:val="20"/>
                <w:szCs w:val="20"/>
                <w:color w:val="auto"/>
              </w:rPr>
            </w:pPr>
            <w:r>
              <w:rPr>
                <w:rFonts w:ascii="Arial" w:cs="Arial" w:eastAsia="Arial" w:hAnsi="Arial"/>
                <w:sz w:val="17"/>
                <w:szCs w:val="17"/>
                <w:color w:val="auto"/>
              </w:rPr>
              <w:t xml:space="preserve">ESU program </w:t>
            </w:r>
            <w:r>
              <w:rPr>
                <w:rFonts w:ascii="Arial" w:cs="Arial" w:eastAsia="Arial" w:hAnsi="Arial"/>
                <w:sz w:val="26"/>
                <w:szCs w:val="26"/>
                <w:b w:val="1"/>
                <w:bCs w:val="1"/>
                <w:color w:val="auto"/>
                <w:vertAlign w:val="superscript"/>
              </w:rPr>
              <w:t>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color w:val="auto"/>
              </w:rPr>
              <w:t xml:space="preserve">Discount Stock Plan </w:t>
            </w:r>
            <w:r>
              <w:rPr>
                <w:rFonts w:ascii="Arial" w:cs="Arial" w:eastAsia="Arial" w:hAnsi="Arial"/>
                <w:sz w:val="26"/>
                <w:szCs w:val="26"/>
                <w:b w:val="1"/>
                <w:bCs w:val="1"/>
                <w:color w:val="auto"/>
                <w:vertAlign w:val="superscript"/>
              </w:rPr>
              <w:t>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line="227" w:lineRule="exact"/>
              <w:rPr>
                <w:sz w:val="20"/>
                <w:szCs w:val="20"/>
                <w:color w:val="auto"/>
              </w:rPr>
            </w:pPr>
            <w:r>
              <w:rPr>
                <w:rFonts w:ascii="Arial" w:cs="Arial" w:eastAsia="Arial" w:hAnsi="Arial"/>
                <w:sz w:val="17"/>
                <w:szCs w:val="17"/>
                <w:color w:val="auto"/>
              </w:rPr>
              <w:t xml:space="preserve">Performance Stock Unit (PSU) awards </w:t>
            </w:r>
            <w:r>
              <w:rPr>
                <w:rFonts w:ascii="Arial" w:cs="Arial" w:eastAsia="Arial" w:hAnsi="Arial"/>
                <w:sz w:val="26"/>
                <w:szCs w:val="26"/>
                <w:b w:val="1"/>
                <w:bCs w:val="1"/>
                <w:color w:val="auto"/>
                <w:vertAlign w:val="superscript"/>
              </w:rPr>
              <w:t>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Restricted Stock Unit (RSU) awards </w:t>
            </w:r>
            <w:r>
              <w:rPr>
                <w:rFonts w:ascii="Arial" w:cs="Arial" w:eastAsia="Arial" w:hAnsi="Arial"/>
                <w:sz w:val="26"/>
                <w:szCs w:val="26"/>
                <w:b w:val="1"/>
                <w:bCs w:val="1"/>
                <w:color w:val="auto"/>
                <w:vertAlign w:val="superscript"/>
              </w:rPr>
              <w:t>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Arial" w:cs="Arial" w:eastAsia="Arial" w:hAnsi="Arial"/>
                <w:sz w:val="18"/>
                <w:szCs w:val="18"/>
                <w:color w:val="auto"/>
              </w:rPr>
              <w:t>Other, primarily non-employee directors restricted stock</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stock-related compensation expense (income)</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Employee contributions for above stock plans</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benefits on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760" w:type="dxa"/>
            <w:vAlign w:val="bottom"/>
          </w:tcPr>
          <w:p>
            <w:pPr>
              <w:ind w:left="20"/>
              <w:spacing w:after="0" w:line="175" w:lineRule="exact"/>
              <w:rPr>
                <w:sz w:val="20"/>
                <w:szCs w:val="20"/>
                <w:color w:val="auto"/>
              </w:rPr>
            </w:pPr>
            <w:r>
              <w:rPr>
                <w:rFonts w:ascii="Arial" w:cs="Arial" w:eastAsia="Arial" w:hAnsi="Arial"/>
                <w:sz w:val="18"/>
                <w:szCs w:val="18"/>
                <w:color w:val="auto"/>
              </w:rPr>
              <w:t>Tax (expense)/benefits on stock-based compensation</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476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Total tax benefits associated with stock-based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recaps the impact of stock-based compensation on assets and liabilities for each of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w:t>
            </w: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w:t>
            </w:r>
          </w:p>
        </w:tc>
        <w:tc>
          <w:tcPr>
            <w:tcW w:w="20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20" w:type="dxa"/>
            <w:vAlign w:val="bottom"/>
          </w:tcPr>
          <w:p>
            <w:pPr>
              <w:ind w:left="180"/>
              <w:spacing w:after="0" w:line="175" w:lineRule="exact"/>
              <w:rPr>
                <w:sz w:val="20"/>
                <w:szCs w:val="20"/>
                <w:color w:val="auto"/>
              </w:rPr>
            </w:pPr>
            <w:r>
              <w:rPr>
                <w:rFonts w:ascii="Arial" w:cs="Arial" w:eastAsia="Arial" w:hAnsi="Arial"/>
                <w:sz w:val="18"/>
                <w:szCs w:val="18"/>
                <w:color w:val="auto"/>
              </w:rPr>
              <w:t>Diversified investments associated with the ESU</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55.9</w:t>
            </w:r>
          </w:p>
        </w:tc>
        <w:tc>
          <w:tcPr>
            <w:tcW w:w="1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60.2</w:t>
            </w:r>
          </w:p>
        </w:tc>
        <w:tc>
          <w:tcPr>
            <w:tcW w:w="2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9"/>
        </w:trPr>
        <w:tc>
          <w:tcPr>
            <w:tcW w:w="4520" w:type="dxa"/>
            <w:vAlign w:val="bottom"/>
          </w:tcPr>
          <w:p>
            <w:pPr>
              <w:ind w:left="180"/>
              <w:spacing w:after="0" w:line="214" w:lineRule="exact"/>
              <w:rPr>
                <w:sz w:val="20"/>
                <w:szCs w:val="20"/>
                <w:color w:val="auto"/>
              </w:rPr>
            </w:pPr>
            <w:r>
              <w:rPr>
                <w:rFonts w:ascii="Arial" w:cs="Arial" w:eastAsia="Arial" w:hAnsi="Arial"/>
                <w:sz w:val="16"/>
                <w:szCs w:val="16"/>
                <w:color w:val="auto"/>
              </w:rPr>
              <w:t xml:space="preserve">program </w:t>
            </w:r>
            <w:r>
              <w:rPr>
                <w:rFonts w:ascii="Arial" w:cs="Arial" w:eastAsia="Arial" w:hAnsi="Arial"/>
                <w:sz w:val="24"/>
                <w:szCs w:val="24"/>
                <w:b w:val="1"/>
                <w:bCs w:val="1"/>
                <w:color w:val="auto"/>
                <w:vertAlign w:val="superscript"/>
              </w:rPr>
              <w:t>1</w:t>
            </w: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180"/>
              <w:spacing w:after="0" w:line="227" w:lineRule="exact"/>
              <w:rPr>
                <w:sz w:val="20"/>
                <w:szCs w:val="20"/>
                <w:color w:val="auto"/>
              </w:rPr>
            </w:pPr>
            <w:r>
              <w:rPr>
                <w:rFonts w:ascii="Arial" w:cs="Arial" w:eastAsia="Arial" w:hAnsi="Arial"/>
                <w:sz w:val="17"/>
                <w:szCs w:val="17"/>
                <w:color w:val="auto"/>
              </w:rPr>
              <w:t xml:space="preserve">ESU program </w:t>
            </w:r>
            <w:r>
              <w:rPr>
                <w:rFonts w:ascii="Arial" w:cs="Arial" w:eastAsia="Arial" w:hAnsi="Arial"/>
                <w:sz w:val="26"/>
                <w:szCs w:val="26"/>
                <w:b w:val="1"/>
                <w:bCs w:val="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8"/>
        </w:trPr>
        <w:tc>
          <w:tcPr>
            <w:tcW w:w="4520" w:type="dxa"/>
            <w:vAlign w:val="bottom"/>
          </w:tcPr>
          <w:p>
            <w:pPr>
              <w:ind w:left="180"/>
              <w:spacing w:after="0" w:line="227" w:lineRule="exact"/>
              <w:rPr>
                <w:sz w:val="20"/>
                <w:szCs w:val="20"/>
                <w:color w:val="auto"/>
              </w:rPr>
            </w:pPr>
            <w:r>
              <w:rPr>
                <w:rFonts w:ascii="Arial" w:cs="Arial" w:eastAsia="Arial" w:hAnsi="Arial"/>
                <w:sz w:val="17"/>
                <w:szCs w:val="17"/>
                <w:color w:val="auto"/>
              </w:rPr>
              <w:t xml:space="preserve">PSU awards </w:t>
            </w:r>
            <w:r>
              <w:rPr>
                <w:rFonts w:ascii="Arial" w:cs="Arial" w:eastAsia="Arial" w:hAnsi="Arial"/>
                <w:sz w:val="26"/>
                <w:szCs w:val="26"/>
                <w:b w:val="1"/>
                <w:bCs w:val="1"/>
                <w:color w:val="auto"/>
                <w:vertAlign w:val="superscript"/>
              </w:rPr>
              <w:t>4</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Other - primarily timing differences between employee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52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withholdings and related employer contributions to be</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submitted to various plans' trust accounts</w:t>
            </w: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4520" w:type="dxa"/>
            <w:vAlign w:val="bottom"/>
          </w:tcPr>
          <w:p>
            <w:pPr>
              <w:ind w:left="20"/>
              <w:spacing w:after="0" w:line="154" w:lineRule="exact"/>
              <w:rPr>
                <w:sz w:val="20"/>
                <w:szCs w:val="20"/>
                <w:color w:val="auto"/>
              </w:rPr>
            </w:pPr>
            <w:r>
              <w:rPr>
                <w:rFonts w:ascii="Arial" w:cs="Arial" w:eastAsia="Arial" w:hAnsi="Arial"/>
                <w:sz w:val="17"/>
                <w:szCs w:val="17"/>
                <w:color w:val="auto"/>
              </w:rPr>
              <w:t>Total liabilities associated with stock-based</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9.4</w:t>
            </w:r>
          </w:p>
        </w:tc>
        <w:tc>
          <w:tcPr>
            <w:tcW w:w="1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60.6</w:t>
            </w:r>
          </w:p>
        </w:tc>
        <w:tc>
          <w:tcPr>
            <w:tcW w:w="16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70.0</w:t>
            </w:r>
          </w:p>
        </w:tc>
        <w:tc>
          <w:tcPr>
            <w:tcW w:w="24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00" w:hanging="110"/>
        <w:spacing w:after="0"/>
        <w:tabs>
          <w:tab w:leader="none" w:pos="600" w:val="left"/>
        </w:tabs>
        <w:numPr>
          <w:ilvl w:val="0"/>
          <w:numId w:val="74"/>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ESU Program</w:t>
      </w:r>
    </w:p>
    <w:p>
      <w:pPr>
        <w:spacing w:after="0" w:line="81" w:lineRule="exact"/>
        <w:rPr>
          <w:sz w:val="20"/>
          <w:szCs w:val="20"/>
          <w:color w:val="auto"/>
        </w:rPr>
      </w:pPr>
    </w:p>
    <w:p>
      <w:pPr>
        <w:ind w:left="660" w:firstLine="402"/>
        <w:spacing w:after="0" w:line="261" w:lineRule="auto"/>
        <w:rPr>
          <w:sz w:val="20"/>
          <w:szCs w:val="20"/>
          <w:color w:val="auto"/>
        </w:rPr>
      </w:pPr>
      <w:r>
        <w:rPr>
          <w:rFonts w:ascii="Arial" w:cs="Arial" w:eastAsia="Arial" w:hAnsi="Arial"/>
          <w:sz w:val="18"/>
          <w:szCs w:val="18"/>
          <w:color w:val="auto"/>
        </w:rPr>
        <w:t>The ESU program is a stock-based retirement plan for highly compensated employees. We make a matching contribution of 50% and will make another matching contribution of up to 50% of the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employee’s contributions for the year if certain profitability levels, as defined in the ESU program, are obtained.</w:t>
      </w:r>
    </w:p>
    <w:p>
      <w:pPr>
        <w:spacing w:after="0" w:line="101" w:lineRule="exact"/>
        <w:rPr>
          <w:sz w:val="20"/>
          <w:szCs w:val="20"/>
          <w:color w:val="auto"/>
        </w:rPr>
      </w:pPr>
    </w:p>
    <w:p>
      <w:pPr>
        <w:ind w:left="660" w:right="20" w:firstLine="402"/>
        <w:spacing w:after="0" w:line="270" w:lineRule="auto"/>
        <w:rPr>
          <w:sz w:val="20"/>
          <w:szCs w:val="20"/>
          <w:color w:val="auto"/>
        </w:rPr>
      </w:pPr>
      <w:r>
        <w:rPr>
          <w:rFonts w:ascii="Arial" w:cs="Arial" w:eastAsia="Arial" w:hAnsi="Arial"/>
          <w:sz w:val="17"/>
          <w:szCs w:val="17"/>
          <w:color w:val="auto"/>
        </w:rPr>
        <w:t>Participants in the ESU program may contribute up to 10% (depending upon certain qualifications) of their compensation above a defined threshold. Participant contributions are credited to a diversified investment account established for the participant, and we make premium contributions to the diversified investment accounts equal to 17.65% of the participant’s contribution. A participant’s diversified investment account balance is adjusted to mirror the investment experience, whether positive or negative, of the diversified investments selected by the participant. Participants may change investment elections in the diversified investment accounts, but cannot purchase Company common stock or stock units. The diversified investment accounts consist of various mutual funds and retirement target funds and are unfunded, unsecured obligations of the Company that will be settled in cash. Both the assets and liabilities associated with this program are presented in the table above and are adjusted to fair value at each reporting period.</w:t>
      </w:r>
    </w:p>
    <w:p>
      <w:pPr>
        <w:spacing w:after="0" w:line="37" w:lineRule="exact"/>
        <w:rPr>
          <w:sz w:val="20"/>
          <w:szCs w:val="20"/>
          <w:color w:val="auto"/>
        </w:rPr>
      </w:pPr>
    </w:p>
    <w:p>
      <w:pPr>
        <w:jc w:val="both"/>
        <w:ind w:left="660" w:right="120" w:firstLine="402"/>
        <w:spacing w:after="0" w:line="265" w:lineRule="auto"/>
        <w:rPr>
          <w:sz w:val="20"/>
          <w:szCs w:val="20"/>
          <w:color w:val="auto"/>
        </w:rPr>
      </w:pPr>
      <w:r>
        <w:rPr>
          <w:rFonts w:ascii="Arial" w:cs="Arial" w:eastAsia="Arial" w:hAnsi="Arial"/>
          <w:sz w:val="18"/>
          <w:szCs w:val="18"/>
          <w:color w:val="auto"/>
        </w:rPr>
        <w:t>Company matching contributions to the ESU program, including dividend equivalents, are used to acquire stock units at 85% of the common stock market price on the acquisition date. Stock units are converted to common stock at a 1-to-1 ratio upon distribution from the program and may be settled in cash, except for distributions to the Company's Section 16 Officers.</w:t>
      </w:r>
    </w:p>
    <w:p>
      <w:pPr>
        <w:spacing w:after="0" w:line="52" w:lineRule="exact"/>
        <w:rPr>
          <w:sz w:val="20"/>
          <w:szCs w:val="20"/>
          <w:color w:val="auto"/>
        </w:rPr>
      </w:pPr>
    </w:p>
    <w:p>
      <w:pPr>
        <w:ind w:left="660" w:right="880" w:firstLine="402"/>
        <w:spacing w:after="0" w:line="312" w:lineRule="auto"/>
        <w:rPr>
          <w:sz w:val="20"/>
          <w:szCs w:val="20"/>
          <w:color w:val="auto"/>
        </w:rPr>
      </w:pPr>
      <w:r>
        <w:rPr>
          <w:rFonts w:ascii="Arial" w:cs="Arial" w:eastAsia="Arial" w:hAnsi="Arial"/>
          <w:sz w:val="17"/>
          <w:szCs w:val="17"/>
          <w:color w:val="auto"/>
        </w:rPr>
        <w:t>Company matches in the ESU program fully vest upon five years of cumulative service, subject to certain participation requirements. Distributions are triggered by an employee’s retirement, death, disability, or separation from Leggett.</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2025, employee contributions were $4.6, and employer premium contributions to diversified investment accounts were $.8.</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stock-based compensation table above for information regarding employer contributions.</w:t>
      </w:r>
    </w:p>
    <w:p>
      <w:pPr>
        <w:spacing w:after="0" w:line="7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Details regarding stock unit activity for the ESU program are reflected in the stock units summary table below.</w:t>
      </w:r>
    </w:p>
    <w:p>
      <w:pPr>
        <w:spacing w:after="0" w:line="25" w:lineRule="exact"/>
        <w:rPr>
          <w:sz w:val="20"/>
          <w:szCs w:val="20"/>
          <w:color w:val="auto"/>
        </w:rPr>
      </w:pPr>
    </w:p>
    <w:p>
      <w:pPr>
        <w:ind w:left="600" w:hanging="110"/>
        <w:spacing w:after="0"/>
        <w:tabs>
          <w:tab w:leader="none" w:pos="600" w:val="left"/>
        </w:tabs>
        <w:numPr>
          <w:ilvl w:val="0"/>
          <w:numId w:val="75"/>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Deferred Compensation Program</w:t>
      </w:r>
    </w:p>
    <w:p>
      <w:pPr>
        <w:spacing w:after="0" w:line="81" w:lineRule="exact"/>
        <w:rPr>
          <w:sz w:val="20"/>
          <w:szCs w:val="20"/>
          <w:color w:val="auto"/>
        </w:rPr>
      </w:pPr>
    </w:p>
    <w:p>
      <w:pPr>
        <w:ind w:left="660" w:firstLine="442"/>
        <w:spacing w:after="0" w:line="261" w:lineRule="auto"/>
        <w:rPr>
          <w:sz w:val="20"/>
          <w:szCs w:val="20"/>
          <w:color w:val="auto"/>
        </w:rPr>
      </w:pPr>
      <w:r>
        <w:rPr>
          <w:rFonts w:ascii="Arial" w:cs="Arial" w:eastAsia="Arial" w:hAnsi="Arial"/>
          <w:sz w:val="18"/>
          <w:szCs w:val="18"/>
          <w:color w:val="auto"/>
        </w:rPr>
        <w:t>We offer a Deferred Compensation Program under which key managers and outside directors may elect to receive stock units or interest-bearing cash deferrals in lieu of cash compensation:</w:t>
      </w:r>
    </w:p>
    <w:p>
      <w:pPr>
        <w:spacing w:after="0" w:line="41" w:lineRule="exact"/>
        <w:rPr>
          <w:sz w:val="20"/>
          <w:szCs w:val="20"/>
          <w:color w:val="auto"/>
        </w:rPr>
      </w:pPr>
    </w:p>
    <w:p>
      <w:pPr>
        <w:ind w:left="1220" w:right="680" w:hanging="167"/>
        <w:spacing w:after="0" w:line="279" w:lineRule="auto"/>
        <w:tabs>
          <w:tab w:leader="none" w:pos="1216" w:val="left"/>
        </w:tabs>
        <w:numPr>
          <w:ilvl w:val="0"/>
          <w:numId w:val="76"/>
        </w:numPr>
        <w:rPr>
          <w:rFonts w:ascii="Arial" w:cs="Arial" w:eastAsia="Arial" w:hAnsi="Arial"/>
          <w:sz w:val="14"/>
          <w:szCs w:val="14"/>
          <w:i w:val="1"/>
          <w:iCs w:val="1"/>
          <w:color w:val="auto"/>
        </w:rPr>
      </w:pPr>
      <w:r>
        <w:rPr>
          <w:rFonts w:ascii="Arial" w:cs="Arial" w:eastAsia="Arial" w:hAnsi="Arial"/>
          <w:sz w:val="18"/>
          <w:szCs w:val="18"/>
          <w:color w:val="auto"/>
        </w:rPr>
        <w:t>Until January 1, 2025, stock options under this program were granted in the last month of the year prior to the year the compensation was earned. There have been no material stock option grants in the years presented.</w:t>
      </w:r>
    </w:p>
    <w:p>
      <w:pPr>
        <w:spacing w:after="0" w:line="1" w:lineRule="exact"/>
        <w:rPr>
          <w:rFonts w:ascii="Arial" w:cs="Arial" w:eastAsia="Arial" w:hAnsi="Arial"/>
          <w:sz w:val="14"/>
          <w:szCs w:val="14"/>
          <w:i w:val="1"/>
          <w:iCs w:val="1"/>
          <w:color w:val="auto"/>
        </w:rPr>
      </w:pPr>
    </w:p>
    <w:p>
      <w:pPr>
        <w:ind w:left="1220" w:right="40" w:hanging="167"/>
        <w:spacing w:after="0" w:line="253" w:lineRule="auto"/>
        <w:tabs>
          <w:tab w:leader="none" w:pos="1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Deferred stock units (DSU) under this program are acquired every two weeks (when the compensation would have otherwise been paid) at a 20% discount to the market price of our common stock on each acquisition date, and they vest immediately. Expense is recorded as the compensation is earned. Stock units earn dividend equivalents at the same rate as cash dividends paid on our common stock, which are then used to acquire stock units at a 20% discount. Stock units are converted to common stock and distributed in accordance with the participant’s pre-set election. However, stock units may be settled in cash, but only if there is not a sufficient amount of shares reserved for future issuance under the Flexible Stock Plan. Participants must begin receiving distributions no later than 10 years after the effective date of the deferral, and installment distributions cannot exceed 10 years.</w:t>
      </w:r>
    </w:p>
    <w:p>
      <w:pPr>
        <w:spacing w:after="0" w:line="23" w:lineRule="exact"/>
        <w:rPr>
          <w:rFonts w:ascii="Arial" w:cs="Arial" w:eastAsia="Arial" w:hAnsi="Arial"/>
          <w:sz w:val="18"/>
          <w:szCs w:val="18"/>
          <w:color w:val="auto"/>
        </w:rPr>
      </w:pPr>
    </w:p>
    <w:p>
      <w:pPr>
        <w:ind w:left="1220" w:right="340" w:hanging="167"/>
        <w:spacing w:after="0" w:line="272" w:lineRule="auto"/>
        <w:tabs>
          <w:tab w:leader="none" w:pos="1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Interest-bearing cash deferrals under this program are reported in "Other long-term liabilities" on the Consolidated Balance Sheets and are disclosed in </w:t>
      </w:r>
      <w:r>
        <w:rPr>
          <w:rFonts w:ascii="Arial" w:cs="Arial" w:eastAsia="Arial" w:hAnsi="Arial"/>
          <w:sz w:val="18"/>
          <w:szCs w:val="18"/>
          <w:u w:val="single" w:color="auto"/>
          <w:color w:val="0000FF"/>
        </w:rPr>
        <w:t>Note I</w:t>
      </w:r>
      <w:r>
        <w:rPr>
          <w:rFonts w:ascii="Arial" w:cs="Arial" w:eastAsia="Arial" w:hAnsi="Arial"/>
          <w:sz w:val="18"/>
          <w:szCs w:val="18"/>
          <w:color w:val="auto"/>
        </w:rPr>
        <w:t>.</w:t>
      </w:r>
    </w:p>
    <w:p>
      <w:pPr>
        <w:ind w:left="6520"/>
        <w:spacing w:after="0"/>
        <w:tabs>
          <w:tab w:leader="none" w:pos="7760" w:val="left"/>
          <w:tab w:leader="none" w:pos="8920" w:val="left"/>
        </w:tabs>
        <w:rPr>
          <w:sz w:val="20"/>
          <w:szCs w:val="20"/>
          <w:color w:val="auto"/>
        </w:rPr>
      </w:pPr>
      <w:r>
        <w:rPr>
          <w:rFonts w:ascii="Arial" w:cs="Arial" w:eastAsia="Arial" w:hAnsi="Arial"/>
          <w:sz w:val="18"/>
          <w:szCs w:val="18"/>
          <w:b w:val="1"/>
          <w:bCs w:val="1"/>
          <w:color w:val="auto"/>
        </w:rPr>
        <w:t>Options</w:t>
      </w:r>
      <w:r>
        <w:rPr>
          <w:sz w:val="20"/>
          <w:szCs w:val="20"/>
          <w:color w:val="auto"/>
        </w:rPr>
        <w:tab/>
      </w:r>
      <w:r>
        <w:rPr>
          <w:rFonts w:ascii="Arial" w:cs="Arial" w:eastAsia="Arial" w:hAnsi="Arial"/>
          <w:sz w:val="18"/>
          <w:szCs w:val="18"/>
          <w:b w:val="1"/>
          <w:bCs w:val="1"/>
          <w:color w:val="auto"/>
        </w:rPr>
        <w:t>Units</w:t>
      </w:r>
      <w:r>
        <w:rPr>
          <w:sz w:val="20"/>
          <w:szCs w:val="20"/>
          <w:color w:val="auto"/>
        </w:rPr>
        <w:tab/>
      </w:r>
      <w:r>
        <w:rPr>
          <w:rFonts w:ascii="Arial" w:cs="Arial" w:eastAsia="Arial" w:hAnsi="Arial"/>
          <w:sz w:val="17"/>
          <w:szCs w:val="17"/>
          <w:b w:val="1"/>
          <w:bCs w:val="1"/>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16510</wp:posOffset>
            </wp:positionV>
            <wp:extent cx="5379720" cy="153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379720" cy="153035"/>
                    </a:xfrm>
                    <a:prstGeom prst="rect">
                      <a:avLst/>
                    </a:prstGeom>
                    <a:noFill/>
                  </pic:spPr>
                </pic:pic>
              </a:graphicData>
            </a:graphic>
          </wp:anchor>
        </w:drawing>
      </w:r>
    </w:p>
    <w:p>
      <w:pPr>
        <w:spacing w:after="0" w:line="19" w:lineRule="exact"/>
        <w:rPr>
          <w:sz w:val="20"/>
          <w:szCs w:val="20"/>
          <w:color w:val="auto"/>
        </w:rPr>
      </w:pPr>
    </w:p>
    <w:p>
      <w:pPr>
        <w:ind w:left="1240"/>
        <w:spacing w:after="0"/>
        <w:tabs>
          <w:tab w:leader="none" w:pos="6320" w:val="left"/>
          <w:tab w:leader="none" w:pos="7140" w:val="left"/>
          <w:tab w:leader="none" w:pos="7480" w:val="left"/>
          <w:tab w:leader="none" w:pos="8180" w:val="left"/>
          <w:tab w:leader="none" w:pos="8640" w:val="left"/>
          <w:tab w:leader="none" w:pos="9440" w:val="left"/>
        </w:tabs>
        <w:rPr>
          <w:sz w:val="20"/>
          <w:szCs w:val="20"/>
          <w:color w:val="auto"/>
        </w:rPr>
      </w:pPr>
      <w:r>
        <w:rPr>
          <w:rFonts w:ascii="Arial" w:cs="Arial" w:eastAsia="Arial" w:hAnsi="Arial"/>
          <w:sz w:val="18"/>
          <w:szCs w:val="18"/>
          <w:color w:val="auto"/>
        </w:rPr>
        <w:t>Aggregate amount of compensation deferred during 2025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w:t>
        <w:tab/>
        <w:t>$</w:t>
      </w:r>
      <w:r>
        <w:rPr>
          <w:sz w:val="20"/>
          <w:szCs w:val="20"/>
          <w:color w:val="auto"/>
        </w:rPr>
        <w:tab/>
      </w:r>
      <w:r>
        <w:rPr>
          <w:rFonts w:ascii="Arial" w:cs="Arial" w:eastAsia="Arial" w:hAnsi="Arial"/>
          <w:sz w:val="18"/>
          <w:szCs w:val="18"/>
          <w:b w:val="1"/>
          <w:bCs w:val="1"/>
          <w:color w:val="auto"/>
        </w:rPr>
        <w:t>2.2</w:t>
        <w:tab/>
        <w:t>$</w:t>
      </w:r>
      <w:r>
        <w:rPr>
          <w:sz w:val="20"/>
          <w:szCs w:val="20"/>
          <w:color w:val="auto"/>
        </w:rPr>
        <w:tab/>
      </w:r>
      <w:r>
        <w:rPr>
          <w:rFonts w:ascii="Arial" w:cs="Arial" w:eastAsia="Arial" w:hAnsi="Arial"/>
          <w:sz w:val="16"/>
          <w:szCs w:val="16"/>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0" w:hanging="110"/>
        <w:spacing w:after="0"/>
        <w:tabs>
          <w:tab w:leader="none" w:pos="600" w:val="left"/>
        </w:tabs>
        <w:numPr>
          <w:ilvl w:val="0"/>
          <w:numId w:val="77"/>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Discount Stock Plan</w:t>
      </w:r>
    </w:p>
    <w:p>
      <w:pPr>
        <w:spacing w:after="0" w:line="67" w:lineRule="exact"/>
        <w:rPr>
          <w:sz w:val="20"/>
          <w:szCs w:val="20"/>
          <w:color w:val="auto"/>
        </w:rPr>
      </w:pPr>
    </w:p>
    <w:p>
      <w:pPr>
        <w:ind w:left="660" w:right="140" w:firstLine="442"/>
        <w:spacing w:after="0" w:line="254" w:lineRule="auto"/>
        <w:rPr>
          <w:sz w:val="20"/>
          <w:szCs w:val="20"/>
          <w:color w:val="auto"/>
        </w:rPr>
      </w:pPr>
      <w:r>
        <w:rPr>
          <w:rFonts w:ascii="Arial" w:cs="Arial" w:eastAsia="Arial" w:hAnsi="Arial"/>
          <w:sz w:val="18"/>
          <w:szCs w:val="18"/>
          <w:color w:val="auto"/>
        </w:rPr>
        <w:t>Under the Discount Stock Plan (DSP), a tax-qualified §423 stock purchase plan, eligible employees may purchase shares of Leggett common stock at 85% of the closing market price on the last business day of each month. Shares are purchased and issued on the last business day of each month and generally cannot be sold or transferred for one year.</w:t>
      </w:r>
    </w:p>
    <w:p>
      <w:pPr>
        <w:spacing w:after="0" w:line="14" w:lineRule="exact"/>
        <w:rPr>
          <w:sz w:val="20"/>
          <w:szCs w:val="20"/>
          <w:color w:val="auto"/>
        </w:rPr>
      </w:pPr>
    </w:p>
    <w:tbl>
      <w:tblPr>
        <w:tblLayout w:type="fixed"/>
        <w:tblInd w:w="2080" w:type="dxa"/>
        <w:tblCellMar>
          <w:top w:w="0" w:type="dxa"/>
          <w:left w:w="0" w:type="dxa"/>
          <w:bottom w:w="0" w:type="dxa"/>
          <w:right w:w="0" w:type="dxa"/>
        </w:tblCellMar>
      </w:tblPr>
      <w:tr>
        <w:trPr>
          <w:trHeight w:val="228"/>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2025 purchase price per share (net of discount)</w:t>
            </w:r>
          </w:p>
        </w:tc>
        <w:tc>
          <w:tcPr>
            <w:tcW w:w="10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8"/>
        </w:trPr>
        <w:tc>
          <w:tcPr>
            <w:tcW w:w="4960" w:type="dxa"/>
            <w:vAlign w:val="bottom"/>
          </w:tcPr>
          <w:p>
            <w:pPr>
              <w:ind w:left="20"/>
              <w:spacing w:after="0"/>
              <w:rPr>
                <w:sz w:val="20"/>
                <w:szCs w:val="20"/>
                <w:color w:val="auto"/>
              </w:rPr>
            </w:pPr>
            <w:r>
              <w:rPr>
                <w:rFonts w:ascii="Arial" w:cs="Arial" w:eastAsia="Arial" w:hAnsi="Arial"/>
                <w:sz w:val="18"/>
                <w:szCs w:val="18"/>
                <w:color w:val="auto"/>
              </w:rPr>
              <w:t>2025 number of shares purchased by employees</w:t>
            </w:r>
          </w:p>
        </w:tc>
        <w:tc>
          <w:tcPr>
            <w:tcW w:w="1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since inception in 1982</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6"/>
        </w:trPr>
        <w:tc>
          <w:tcPr>
            <w:tcW w:w="4960" w:type="dxa"/>
            <w:vAlign w:val="bottom"/>
          </w:tcPr>
          <w:p>
            <w:pPr>
              <w:ind w:left="20"/>
              <w:spacing w:after="0"/>
              <w:rPr>
                <w:sz w:val="20"/>
                <w:szCs w:val="20"/>
                <w:color w:val="auto"/>
              </w:rPr>
            </w:pPr>
            <w:r>
              <w:rPr>
                <w:rFonts w:ascii="Arial" w:cs="Arial" w:eastAsia="Arial" w:hAnsi="Arial"/>
                <w:sz w:val="18"/>
                <w:szCs w:val="18"/>
                <w:color w:val="auto"/>
              </w:rPr>
              <w:t>Maximum shares under the plan</w:t>
            </w:r>
          </w:p>
        </w:tc>
        <w:tc>
          <w:tcPr>
            <w:tcW w:w="10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r>
    </w:tbl>
    <w:p>
      <w:pPr>
        <w:spacing w:after="0" w:line="152" w:lineRule="exact"/>
        <w:rPr>
          <w:sz w:val="20"/>
          <w:szCs w:val="20"/>
          <w:color w:val="auto"/>
        </w:rPr>
      </w:pPr>
    </w:p>
    <w:p>
      <w:pPr>
        <w:ind w:left="600" w:hanging="110"/>
        <w:spacing w:after="0"/>
        <w:tabs>
          <w:tab w:leader="none" w:pos="600" w:val="left"/>
        </w:tabs>
        <w:numPr>
          <w:ilvl w:val="0"/>
          <w:numId w:val="78"/>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PSU Awards</w:t>
      </w:r>
    </w:p>
    <w:p>
      <w:pPr>
        <w:spacing w:after="0" w:line="67" w:lineRule="exact"/>
        <w:rPr>
          <w:sz w:val="20"/>
          <w:szCs w:val="20"/>
          <w:color w:val="auto"/>
        </w:rPr>
      </w:pPr>
    </w:p>
    <w:p>
      <w:pPr>
        <w:ind w:left="660" w:right="240" w:firstLine="402"/>
        <w:spacing w:after="0" w:line="261" w:lineRule="auto"/>
        <w:rPr>
          <w:sz w:val="20"/>
          <w:szCs w:val="20"/>
          <w:color w:val="auto"/>
        </w:rPr>
      </w:pPr>
      <w:r>
        <w:rPr>
          <w:rFonts w:ascii="Arial" w:cs="Arial" w:eastAsia="Arial" w:hAnsi="Arial"/>
          <w:sz w:val="18"/>
          <w:szCs w:val="18"/>
          <w:color w:val="auto"/>
        </w:rPr>
        <w:t>Our long-term incentive awards are split between PSUs and RSUs. Corporate officers receive 60% PSUs and 40% RSUs. For other selected participants, the award is granted at either half PSUs and half RSUs or 100% RSUs.</w:t>
      </w:r>
    </w:p>
    <w:p>
      <w:pPr>
        <w:spacing w:after="0" w:line="55" w:lineRule="exact"/>
        <w:rPr>
          <w:sz w:val="20"/>
          <w:szCs w:val="20"/>
          <w:color w:val="auto"/>
        </w:rPr>
      </w:pPr>
    </w:p>
    <w:p>
      <w:pPr>
        <w:ind w:left="660" w:right="180" w:firstLine="402"/>
        <w:spacing w:after="0" w:line="265" w:lineRule="auto"/>
        <w:rPr>
          <w:sz w:val="20"/>
          <w:szCs w:val="20"/>
          <w:color w:val="auto"/>
        </w:rPr>
      </w:pPr>
      <w:r>
        <w:rPr>
          <w:rFonts w:ascii="Arial" w:cs="Arial" w:eastAsia="Arial" w:hAnsi="Arial"/>
          <w:sz w:val="18"/>
          <w:szCs w:val="18"/>
          <w:color w:val="auto"/>
        </w:rPr>
        <w:t>We intend to pay 50% in shares of our common stock and 50% in cash, although we reserve the right (subject to the Human Resources and Compensation (HRC) Committee's approval) to pay up to 100% in cash. Cash settlements are recorded as a liability and adjusted to fair value at each reporting period.</w:t>
      </w:r>
    </w:p>
    <w:p>
      <w:pPr>
        <w:spacing w:after="0" w:line="65" w:lineRule="exact"/>
        <w:rPr>
          <w:sz w:val="20"/>
          <w:szCs w:val="20"/>
          <w:color w:val="auto"/>
        </w:rPr>
      </w:pPr>
    </w:p>
    <w:p>
      <w:pPr>
        <w:ind w:left="660" w:right="100" w:firstLine="402"/>
        <w:spacing w:after="0" w:line="265" w:lineRule="auto"/>
        <w:rPr>
          <w:sz w:val="20"/>
          <w:szCs w:val="20"/>
          <w:color w:val="auto"/>
        </w:rPr>
      </w:pPr>
      <w:r>
        <w:rPr>
          <w:rFonts w:ascii="Arial" w:cs="Arial" w:eastAsia="Arial" w:hAnsi="Arial"/>
          <w:sz w:val="18"/>
          <w:szCs w:val="18"/>
          <w:color w:val="auto"/>
        </w:rPr>
        <w:t>The awards are based on two performance conditions as detailed below. The base payout percentage will be determined by the level of achievement of these performance conditions, and then adjusted by a payout multiplier based on our Total Shareholder Return (TSR) compared to a peer group. Participants will earn from 0% to 200% of the base award.</w:t>
      </w:r>
    </w:p>
    <w:p>
      <w:pPr>
        <w:spacing w:after="0" w:line="65" w:lineRule="exact"/>
        <w:rPr>
          <w:sz w:val="20"/>
          <w:szCs w:val="20"/>
          <w:color w:val="auto"/>
        </w:rPr>
      </w:pPr>
    </w:p>
    <w:p>
      <w:pPr>
        <w:jc w:val="both"/>
        <w:ind w:left="660" w:firstLine="402"/>
        <w:spacing w:after="0" w:line="265" w:lineRule="auto"/>
        <w:rPr>
          <w:sz w:val="20"/>
          <w:szCs w:val="20"/>
          <w:color w:val="auto"/>
        </w:rPr>
      </w:pPr>
      <w:r>
        <w:rPr>
          <w:rFonts w:ascii="Arial" w:cs="Arial" w:eastAsia="Arial" w:hAnsi="Arial"/>
          <w:sz w:val="18"/>
          <w:szCs w:val="18"/>
          <w:color w:val="auto"/>
        </w:rPr>
        <w:t>Grant date fair values are calculated based on the grant date stock price and a Monte Carlo simulation of stock and volatility data for Leggett and each of the peer companies for the payout multiplier. Expense is adjusted quarterly over the three-year vesting period based on the number of shares expected to vest.</w:t>
      </w:r>
    </w:p>
    <w:p>
      <w:pPr>
        <w:spacing w:after="0" w:line="6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PSU awards contain the following conditions:</w:t>
      </w:r>
    </w:p>
    <w:p>
      <w:pPr>
        <w:spacing w:after="0" w:line="115" w:lineRule="exact"/>
        <w:rPr>
          <w:sz w:val="20"/>
          <w:szCs w:val="20"/>
          <w:color w:val="auto"/>
        </w:rPr>
      </w:pPr>
    </w:p>
    <w:p>
      <w:pPr>
        <w:ind w:left="1380"/>
        <w:spacing w:after="0"/>
        <w:tabs>
          <w:tab w:leader="none" w:pos="8500" w:val="left"/>
        </w:tabs>
        <w:rPr>
          <w:sz w:val="20"/>
          <w:szCs w:val="20"/>
          <w:color w:val="auto"/>
        </w:rPr>
      </w:pPr>
      <w:r>
        <w:rPr>
          <w:rFonts w:ascii="Arial" w:cs="Arial" w:eastAsia="Arial" w:hAnsi="Arial"/>
          <w:sz w:val="18"/>
          <w:szCs w:val="18"/>
          <w:color w:val="auto"/>
        </w:rPr>
        <w:t>• A service requirement—Awards generally "cliff" vest three years following the grant</w:t>
      </w:r>
      <w:r>
        <w:rPr>
          <w:sz w:val="20"/>
          <w:szCs w:val="20"/>
          <w:color w:val="auto"/>
        </w:rPr>
        <w:tab/>
      </w:r>
      <w:r>
        <w:rPr>
          <w:rFonts w:ascii="Arial" w:cs="Arial" w:eastAsia="Arial" w:hAnsi="Arial"/>
          <w:sz w:val="17"/>
          <w:szCs w:val="17"/>
          <w:color w:val="auto"/>
        </w:rPr>
        <w:t>date.</w:t>
      </w:r>
    </w:p>
    <w:p>
      <w:pPr>
        <w:spacing w:after="0" w:line="25" w:lineRule="exact"/>
        <w:rPr>
          <w:sz w:val="20"/>
          <w:szCs w:val="20"/>
          <w:color w:val="auto"/>
        </w:rPr>
      </w:pPr>
    </w:p>
    <w:p>
      <w:pPr>
        <w:ind w:left="1540" w:hanging="165"/>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Two performance conditions over the three-year performance period:</w:t>
      </w:r>
    </w:p>
    <w:p>
      <w:pPr>
        <w:spacing w:after="0" w:line="56" w:lineRule="exact"/>
        <w:rPr>
          <w:rFonts w:ascii="Arial" w:cs="Arial" w:eastAsia="Arial" w:hAnsi="Arial"/>
          <w:sz w:val="18"/>
          <w:szCs w:val="18"/>
          <w:color w:val="auto"/>
        </w:rPr>
      </w:pPr>
    </w:p>
    <w:p>
      <w:pPr>
        <w:ind w:left="2020" w:right="160" w:hanging="163"/>
        <w:spacing w:after="0" w:line="259" w:lineRule="auto"/>
        <w:tabs>
          <w:tab w:leader="none" w:pos="2015" w:val="left"/>
        </w:tabs>
        <w:numPr>
          <w:ilvl w:val="1"/>
          <w:numId w:val="79"/>
        </w:numPr>
        <w:rPr>
          <w:rFonts w:ascii="Arial" w:cs="Arial" w:eastAsia="Arial" w:hAnsi="Arial"/>
          <w:sz w:val="18"/>
          <w:szCs w:val="18"/>
          <w:color w:val="auto"/>
        </w:rPr>
      </w:pPr>
      <w:r>
        <w:rPr>
          <w:rFonts w:ascii="Arial" w:cs="Arial" w:eastAsia="Arial" w:hAnsi="Arial"/>
          <w:sz w:val="18"/>
          <w:szCs w:val="18"/>
          <w:color w:val="auto"/>
        </w:rPr>
        <w:t>50% of the awards are based on Return on Invested Capital (ROIC). ROIC is calculated as our average annual net operating profit after tax divided by our average invested capital.</w:t>
      </w:r>
    </w:p>
    <w:p>
      <w:pPr>
        <w:ind w:left="2020" w:right="20" w:hanging="163"/>
        <w:spacing w:after="0" w:line="261" w:lineRule="auto"/>
        <w:tabs>
          <w:tab w:leader="none" w:pos="2015" w:val="left"/>
        </w:tabs>
        <w:numPr>
          <w:ilvl w:val="1"/>
          <w:numId w:val="79"/>
        </w:numPr>
        <w:rPr>
          <w:rFonts w:ascii="Arial" w:cs="Arial" w:eastAsia="Arial" w:hAnsi="Arial"/>
          <w:sz w:val="18"/>
          <w:szCs w:val="18"/>
          <w:color w:val="auto"/>
        </w:rPr>
      </w:pPr>
      <w:r>
        <w:rPr>
          <w:rFonts w:ascii="Arial" w:cs="Arial" w:eastAsia="Arial" w:hAnsi="Arial"/>
          <w:sz w:val="18"/>
          <w:szCs w:val="18"/>
          <w:color w:val="auto"/>
        </w:rPr>
        <w:t>50% of the awards are based on achieving specified Earnings Before Interest, Taxes, Depreciation, and Amortization (EBITDA) performance targets.</w:t>
      </w:r>
    </w:p>
    <w:p>
      <w:pPr>
        <w:spacing w:after="0" w:line="68" w:lineRule="exact"/>
        <w:rPr>
          <w:rFonts w:ascii="Arial" w:cs="Arial" w:eastAsia="Arial" w:hAnsi="Arial"/>
          <w:sz w:val="18"/>
          <w:szCs w:val="18"/>
          <w:color w:val="auto"/>
        </w:rPr>
      </w:pPr>
    </w:p>
    <w:p>
      <w:pPr>
        <w:ind w:left="1540" w:right="120" w:hanging="165"/>
        <w:spacing w:after="0" w:line="257" w:lineRule="auto"/>
        <w:tabs>
          <w:tab w:leader="none" w:pos="1535"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 market condition—The payout multiplier is based upon our relative TSR compared to a group of peer companies during the three-year performance period. The peer group consists of all the companies in the Industrial, Materials, and Consumer Discretionary sectors of the S&amp;P 500 and S&amp;P Midcap 400 (approximately 320 companies). The multiplier will increase or decrease the payout by up to 25%, not to exceed the maximum 200% payout, and may not increase the payout above 100% if our TSR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Below is a summary of shares and grant date fair value related to PSU awards for the periods presented:</w:t>
      </w:r>
    </w:p>
    <w:p>
      <w:pPr>
        <w:spacing w:after="0" w:line="84" w:lineRule="exact"/>
        <w:rPr>
          <w:sz w:val="20"/>
          <w:szCs w:val="20"/>
          <w:color w:val="auto"/>
        </w:rPr>
      </w:pPr>
    </w:p>
    <w:tbl>
      <w:tblPr>
        <w:tblLayout w:type="fixed"/>
        <w:tblInd w:w="86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208"/>
        </w:trPr>
        <w:tc>
          <w:tcPr>
            <w:tcW w:w="5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r>
      <w:tr>
        <w:trPr>
          <w:trHeight w:val="222"/>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shares base award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r>
      <w:tr>
        <w:trPr>
          <w:trHeight w:val="228"/>
        </w:trPr>
        <w:tc>
          <w:tcPr>
            <w:tcW w:w="5120" w:type="dxa"/>
            <w:vAlign w:val="bottom"/>
          </w:tcPr>
          <w:p>
            <w:pPr>
              <w:ind w:left="140"/>
              <w:spacing w:after="0"/>
              <w:rPr>
                <w:sz w:val="20"/>
                <w:szCs w:val="20"/>
                <w:color w:val="auto"/>
              </w:rPr>
            </w:pPr>
            <w:r>
              <w:rPr>
                <w:rFonts w:ascii="Arial" w:cs="Arial" w:eastAsia="Arial" w:hAnsi="Arial"/>
                <w:sz w:val="18"/>
                <w:szCs w:val="18"/>
                <w:color w:val="auto"/>
              </w:rPr>
              <w:t>Grant date per share fair value</w:t>
            </w: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55"/>
              <w:spacing w:after="0"/>
              <w:rPr>
                <w:sz w:val="20"/>
                <w:szCs w:val="20"/>
                <w:color w:val="auto"/>
              </w:rPr>
            </w:pPr>
            <w:r>
              <w:rPr>
                <w:rFonts w:ascii="Arial" w:cs="Arial" w:eastAsia="Arial" w:hAnsi="Arial"/>
                <w:sz w:val="18"/>
                <w:szCs w:val="18"/>
                <w:b w:val="1"/>
                <w:bCs w:val="1"/>
                <w:color w:val="auto"/>
              </w:rPr>
              <w:t>8.99</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29.31</w:t>
            </w:r>
          </w:p>
        </w:tc>
      </w:tr>
      <w:tr>
        <w:trPr>
          <w:trHeight w:val="228"/>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5120" w:type="dxa"/>
            <w:vAlign w:val="bottom"/>
          </w:tcPr>
          <w:p>
            <w:pPr>
              <w:ind w:left="140"/>
              <w:spacing w:after="0"/>
              <w:rPr>
                <w:sz w:val="20"/>
                <w:szCs w:val="20"/>
                <w:color w:val="auto"/>
              </w:rPr>
            </w:pPr>
            <w:r>
              <w:rPr>
                <w:rFonts w:ascii="Arial" w:cs="Arial" w:eastAsia="Arial" w:hAnsi="Arial"/>
                <w:sz w:val="18"/>
                <w:szCs w:val="18"/>
                <w:color w:val="auto"/>
              </w:rPr>
              <w:t>Vesting period in years</w:t>
            </w:r>
          </w:p>
        </w:tc>
        <w:tc>
          <w:tcPr>
            <w:tcW w:w="30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3.0</w:t>
            </w:r>
          </w:p>
        </w:tc>
      </w:tr>
      <w:tr>
        <w:trPr>
          <w:trHeight w:val="228"/>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6"/>
        </w:trPr>
        <w:tc>
          <w:tcPr>
            <w:tcW w:w="5120" w:type="dxa"/>
            <w:vAlign w:val="bottom"/>
          </w:tcPr>
          <w:p>
            <w:pPr>
              <w:ind w:left="140"/>
              <w:spacing w:after="0"/>
              <w:rPr>
                <w:sz w:val="20"/>
                <w:szCs w:val="20"/>
                <w:color w:val="auto"/>
              </w:rPr>
            </w:pPr>
            <w:r>
              <w:rPr>
                <w:rFonts w:ascii="Arial" w:cs="Arial" w:eastAsia="Arial" w:hAnsi="Arial"/>
                <w:sz w:val="18"/>
                <w:szCs w:val="18"/>
                <w:color w:val="auto"/>
              </w:rPr>
              <w:t>Expected dividend yield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72" w:lineRule="exact"/>
        <w:rPr>
          <w:sz w:val="20"/>
          <w:szCs w:val="20"/>
          <w:color w:val="auto"/>
        </w:rPr>
      </w:pPr>
    </w:p>
    <w:p>
      <w:pPr>
        <w:ind w:left="820" w:right="60" w:firstLine="483"/>
        <w:spacing w:after="0" w:line="259" w:lineRule="auto"/>
        <w:rPr>
          <w:sz w:val="20"/>
          <w:szCs w:val="20"/>
          <w:color w:val="auto"/>
        </w:rPr>
      </w:pPr>
      <w:r>
        <w:rPr>
          <w:rFonts w:ascii="Arial" w:cs="Arial" w:eastAsia="Arial" w:hAnsi="Arial"/>
          <w:sz w:val="18"/>
          <w:szCs w:val="18"/>
          <w:color w:val="auto"/>
        </w:rPr>
        <w:t>The performance for the 2021-2023 award years (covering the three-year performance periods ending December 31, 2023, 2024, and 2025) resulted in payouts of less than 10% for the 2021 and 2022 award years, with distributions under .1 and cash payments of $.1 or less for each three-year cycle. The 2023 cycle did not meet the required performance thresholds, resulting in no payout.</w:t>
      </w:r>
    </w:p>
    <w:p>
      <w:pPr>
        <w:ind w:left="780" w:hanging="129"/>
        <w:spacing w:after="0" w:line="226" w:lineRule="auto"/>
        <w:tabs>
          <w:tab w:leader="none" w:pos="780" w:val="left"/>
        </w:tabs>
        <w:numPr>
          <w:ilvl w:val="0"/>
          <w:numId w:val="80"/>
        </w:numPr>
        <w:rPr>
          <w:rFonts w:ascii="Arial" w:cs="Arial" w:eastAsia="Arial" w:hAnsi="Arial"/>
          <w:sz w:val="28"/>
          <w:szCs w:val="28"/>
          <w:b w:val="1"/>
          <w:bCs w:val="1"/>
          <w:color w:val="auto"/>
          <w:vertAlign w:val="superscript"/>
        </w:rPr>
      </w:pPr>
      <w:r>
        <w:rPr>
          <w:rFonts w:ascii="Arial" w:cs="Arial" w:eastAsia="Arial" w:hAnsi="Arial"/>
          <w:sz w:val="18"/>
          <w:szCs w:val="18"/>
          <w:b w:val="1"/>
          <w:bCs w:val="1"/>
          <w:color w:val="auto"/>
        </w:rPr>
        <w:t>Restricted Stock Unit Awards</w:t>
      </w:r>
    </w:p>
    <w:p>
      <w:pPr>
        <w:spacing w:after="0" w:line="6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RSU awards are generally granted as follows:</w:t>
      </w:r>
    </w:p>
    <w:p>
      <w:pPr>
        <w:spacing w:after="0" w:line="83" w:lineRule="exact"/>
        <w:rPr>
          <w:sz w:val="20"/>
          <w:szCs w:val="20"/>
          <w:color w:val="auto"/>
        </w:rPr>
      </w:pPr>
    </w:p>
    <w:p>
      <w:pPr>
        <w:ind w:left="1380" w:hanging="166"/>
        <w:spacing w:after="0"/>
        <w:tabs>
          <w:tab w:leader="none" w:pos="1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part of our long-term incentive awards, along with PSUs as discussed above</w:t>
      </w:r>
    </w:p>
    <w:p>
      <w:pPr>
        <w:spacing w:after="0" w:line="61" w:lineRule="exact"/>
        <w:rPr>
          <w:rFonts w:ascii="Arial" w:cs="Arial" w:eastAsia="Arial" w:hAnsi="Arial"/>
          <w:sz w:val="18"/>
          <w:szCs w:val="18"/>
          <w:color w:val="auto"/>
        </w:rPr>
      </w:pPr>
    </w:p>
    <w:p>
      <w:pPr>
        <w:ind w:left="1380" w:hanging="166"/>
        <w:spacing w:after="0"/>
        <w:tabs>
          <w:tab w:leader="none" w:pos="1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annual awards to selected managers</w:t>
      </w:r>
    </w:p>
    <w:p>
      <w:pPr>
        <w:spacing w:after="0" w:line="61" w:lineRule="exact"/>
        <w:rPr>
          <w:rFonts w:ascii="Arial" w:cs="Arial" w:eastAsia="Arial" w:hAnsi="Arial"/>
          <w:sz w:val="18"/>
          <w:szCs w:val="18"/>
          <w:color w:val="auto"/>
        </w:rPr>
      </w:pPr>
    </w:p>
    <w:p>
      <w:pPr>
        <w:ind w:left="1380" w:hanging="166"/>
        <w:spacing w:after="0"/>
        <w:tabs>
          <w:tab w:leader="none" w:pos="1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a discretionary basis to selected employees</w:t>
      </w:r>
    </w:p>
    <w:p>
      <w:pPr>
        <w:spacing w:after="0" w:line="61" w:lineRule="exact"/>
        <w:rPr>
          <w:rFonts w:ascii="Arial" w:cs="Arial" w:eastAsia="Arial" w:hAnsi="Arial"/>
          <w:sz w:val="18"/>
          <w:szCs w:val="18"/>
          <w:color w:val="auto"/>
        </w:rPr>
      </w:pPr>
    </w:p>
    <w:p>
      <w:pPr>
        <w:ind w:left="1380" w:hanging="166"/>
        <w:spacing w:after="0"/>
        <w:tabs>
          <w:tab w:leader="none" w:pos="1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compensation for outside directors</w:t>
      </w:r>
    </w:p>
    <w:p>
      <w:pPr>
        <w:spacing w:after="0" w:line="101" w:lineRule="exact"/>
        <w:rPr>
          <w:sz w:val="20"/>
          <w:szCs w:val="20"/>
          <w:color w:val="auto"/>
        </w:rPr>
      </w:pPr>
    </w:p>
    <w:p>
      <w:pPr>
        <w:ind w:left="820" w:firstLine="442"/>
        <w:spacing w:after="0" w:line="259" w:lineRule="auto"/>
        <w:rPr>
          <w:sz w:val="20"/>
          <w:szCs w:val="20"/>
          <w:color w:val="auto"/>
        </w:rPr>
      </w:pPr>
      <w:r>
        <w:rPr>
          <w:rFonts w:ascii="Arial" w:cs="Arial" w:eastAsia="Arial" w:hAnsi="Arial"/>
          <w:sz w:val="18"/>
          <w:szCs w:val="18"/>
          <w:color w:val="auto"/>
        </w:rPr>
        <w:t>The value of these awards is determined by the stock price on the day of the award, and expense is generally recognized over the three-year vesting period, except for retirement-eligible employees that are expensed immediately at the RSU grant date or as they become retirement eligible. Those who are retirement eligible (after age 65 or on the date where the participant’s age plus years of service is greater than or equal to 70 years) will continue to receive shares that will vest after the retirement date.</w:t>
      </w:r>
    </w:p>
    <w:p>
      <w:pPr>
        <w:spacing w:after="0" w:line="47" w:lineRule="exact"/>
        <w:rPr>
          <w:sz w:val="20"/>
          <w:szCs w:val="20"/>
          <w:color w:val="auto"/>
        </w:rPr>
      </w:pPr>
    </w:p>
    <w:p>
      <w:pPr>
        <w:ind w:left="860"/>
        <w:spacing w:after="0"/>
        <w:rPr>
          <w:sz w:val="20"/>
          <w:szCs w:val="20"/>
          <w:color w:val="auto"/>
        </w:rPr>
      </w:pPr>
      <w:r>
        <w:rPr>
          <w:rFonts w:ascii="Arial" w:cs="Arial" w:eastAsia="Arial" w:hAnsi="Arial"/>
          <w:sz w:val="18"/>
          <w:szCs w:val="18"/>
          <w:i w:val="1"/>
          <w:iCs w:val="1"/>
          <w:u w:val="single" w:color="auto"/>
          <w:color w:val="auto"/>
        </w:rPr>
        <w:t>Stock Units Summary</w:t>
      </w:r>
    </w:p>
    <w:p>
      <w:pPr>
        <w:spacing w:after="0" w:line="99" w:lineRule="exact"/>
        <w:rPr>
          <w:sz w:val="20"/>
          <w:szCs w:val="20"/>
          <w:color w:val="auto"/>
        </w:rPr>
      </w:pPr>
    </w:p>
    <w:p>
      <w:pPr>
        <w:ind w:left="900" w:right="300" w:firstLine="322"/>
        <w:spacing w:after="0" w:line="282" w:lineRule="auto"/>
        <w:rPr>
          <w:sz w:val="20"/>
          <w:szCs w:val="20"/>
          <w:color w:val="auto"/>
        </w:rPr>
      </w:pPr>
      <w:r>
        <w:rPr>
          <w:rFonts w:ascii="Arial" w:cs="Arial" w:eastAsia="Arial" w:hAnsi="Arial"/>
          <w:sz w:val="18"/>
          <w:szCs w:val="18"/>
          <w:color w:val="auto"/>
        </w:rPr>
        <w:t>As of December 31, 2025, the unrecognized cost of non-vested stock units that is not adjusted to fair value was $6.1 with a weighted-average remaining contractual life of one year.</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Stock unit information for the plans discussed above is presented in the table below:</w:t>
      </w:r>
    </w:p>
    <w:p>
      <w:pPr>
        <w:spacing w:after="0" w:line="124"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DSU</w:t>
            </w:r>
          </w:p>
        </w:tc>
        <w:tc>
          <w:tcPr>
            <w:tcW w:w="6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ESU</w:t>
            </w:r>
          </w:p>
        </w:tc>
        <w:tc>
          <w:tcPr>
            <w:tcW w:w="6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PSU</w:t>
            </w:r>
          </w:p>
        </w:tc>
        <w:tc>
          <w:tcPr>
            <w:tcW w:w="6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RSU</w:t>
            </w: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840" w:type="dxa"/>
            <w:vAlign w:val="bottom"/>
          </w:tcPr>
          <w:p>
            <w:pPr>
              <w:jc w:val="center"/>
              <w:ind w:right="41"/>
              <w:spacing w:after="0" w:line="134"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Unit</w:t>
            </w:r>
          </w:p>
        </w:tc>
        <w:tc>
          <w:tcPr>
            <w:tcW w:w="120" w:type="dxa"/>
            <w:vAlign w:val="bottom"/>
          </w:tcPr>
          <w:p>
            <w:pPr>
              <w:spacing w:after="0"/>
              <w:rPr>
                <w:sz w:val="16"/>
                <w:szCs w:val="16"/>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340"/>
              <w:spacing w:after="0"/>
              <w:rPr>
                <w:sz w:val="20"/>
                <w:szCs w:val="20"/>
                <w:color w:val="auto"/>
              </w:rPr>
            </w:pPr>
            <w:r>
              <w:rPr>
                <w:rFonts w:ascii="Arial" w:cs="Arial" w:eastAsia="Arial" w:hAnsi="Arial"/>
                <w:sz w:val="18"/>
                <w:szCs w:val="18"/>
                <w:color w:val="auto"/>
              </w:rPr>
              <w:t>Granted based on current service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 based on future conditions*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340"/>
              <w:spacing w:after="0"/>
              <w:rPr>
                <w:sz w:val="20"/>
                <w:szCs w:val="20"/>
                <w:color w:val="auto"/>
              </w:rPr>
            </w:pPr>
            <w:r>
              <w:rPr>
                <w:rFonts w:ascii="Arial" w:cs="Arial" w:eastAsia="Arial" w:hAnsi="Arial"/>
                <w:sz w:val="18"/>
                <w:szCs w:val="18"/>
                <w:color w:val="auto"/>
              </w:rPr>
              <w:t>Vested</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Unvested at December 31, 2025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Fully vested shares available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issuance at December 31, 2025</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*Stock-settled PSU awards (50%) are presented at maximum payout of 200% at grant date and when forfeited.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6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Total intrinsic value of vested stock units converted to common</w:t>
            </w:r>
          </w:p>
        </w:tc>
        <w:tc>
          <w:tcPr>
            <w:tcW w:w="740" w:type="dxa"/>
            <w:vAlign w:val="bottom"/>
            <w:vMerge w:val="restart"/>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740" w:type="dxa"/>
            <w:vAlign w:val="bottom"/>
            <w:vMerge w:val="continue"/>
            <w:shd w:val="clear" w:color="auto" w:fill="CCEEFF"/>
          </w:tcPr>
          <w:p>
            <w:pPr>
              <w:spacing w:after="0"/>
              <w:rPr>
                <w:sz w:val="20"/>
                <w:szCs w:val="20"/>
                <w:color w:val="auto"/>
              </w:rPr>
            </w:pPr>
          </w:p>
        </w:tc>
        <w:tc>
          <w:tcPr>
            <w:tcW w:w="660" w:type="dxa"/>
            <w:vAlign w:val="bottom"/>
            <w:gridSpan w:val="3"/>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M—Employee Benefit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Termination and Liquidation of the Frozen Plan</w:t>
      </w:r>
    </w:p>
    <w:p>
      <w:pPr>
        <w:spacing w:after="0" w:line="86" w:lineRule="exact"/>
        <w:rPr>
          <w:sz w:val="20"/>
          <w:szCs w:val="20"/>
          <w:color w:val="auto"/>
        </w:rPr>
      </w:pPr>
    </w:p>
    <w:p>
      <w:pPr>
        <w:ind w:firstLine="402"/>
        <w:spacing w:after="0" w:line="275" w:lineRule="auto"/>
        <w:rPr>
          <w:sz w:val="20"/>
          <w:szCs w:val="20"/>
          <w:color w:val="auto"/>
        </w:rPr>
      </w:pPr>
      <w:r>
        <w:rPr>
          <w:rFonts w:ascii="Arial" w:cs="Arial" w:eastAsia="Arial" w:hAnsi="Arial"/>
          <w:sz w:val="17"/>
          <w:szCs w:val="17"/>
          <w:color w:val="auto"/>
        </w:rPr>
        <w:t>Our Frozen Plan (consisting of two domestic defined benefit plans that were merged and terminated effective December 31, 2024) was liquidated in November 2025 through the distribution of plan assets and transfer of benefit obligations to an unrelated third-party insurance company. In connection, non-cash settlement charges of $22.0 and $.7 were recorded for the years ended December 31, 2025 and 2024, respectively, and an employer contribution of $6.0 was made in the fourth quarter of 2025. At December 31, 2025, the remaining net liability for the Frozen Plan was $.7 and is expected to be fully settled by mid-2026. The Frozen Plan's net liability was $4.2 at December 31, 2024.</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Remaining Defined Benefit Pension Plan Activity</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remaining domestic plan represents approximately 59% of our pension benefit obligation at December 31, 2025. At December 31,</w:t>
      </w:r>
    </w:p>
    <w:p>
      <w:pPr>
        <w:spacing w:after="0" w:line="3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2024 and 2023, our domestic plans consisted of two and three significant plans, respectively, and represented approximately 85% of our pension benefit obligation for both years.</w:t>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our pension obligations and funded status as of December 31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340"/>
              <w:spacing w:after="0"/>
              <w:rPr>
                <w:sz w:val="20"/>
                <w:szCs w:val="20"/>
                <w:color w:val="auto"/>
              </w:rPr>
            </w:pPr>
            <w:r>
              <w:rPr>
                <w:rFonts w:ascii="Arial" w:cs="Arial" w:eastAsia="Arial" w:hAnsi="Arial"/>
                <w:sz w:val="18"/>
                <w:szCs w:val="18"/>
                <w:color w:val="auto"/>
              </w:rPr>
              <w:t>Benefit obligation, beginning of period</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178.5</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line="227" w:lineRule="exact"/>
              <w:rPr>
                <w:sz w:val="20"/>
                <w:szCs w:val="20"/>
                <w:color w:val="auto"/>
              </w:rPr>
            </w:pPr>
            <w:r>
              <w:rPr>
                <w:rFonts w:ascii="Arial" w:cs="Arial" w:eastAsia="Arial" w:hAnsi="Arial"/>
                <w:sz w:val="17"/>
                <w:szCs w:val="17"/>
                <w:color w:val="auto"/>
              </w:rPr>
              <w:t xml:space="preserve">Actuarial loss (gain) </w:t>
            </w:r>
            <w:r>
              <w:rPr>
                <w:rFonts w:ascii="Arial" w:cs="Arial" w:eastAsia="Arial" w:hAnsi="Arial"/>
                <w:sz w:val="26"/>
                <w:szCs w:val="26"/>
                <w:b w:val="1"/>
                <w:bCs w:val="1"/>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Curtailments and settlements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Benefit obligation, end of period</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340"/>
              <w:spacing w:after="0"/>
              <w:rPr>
                <w:sz w:val="20"/>
                <w:szCs w:val="20"/>
                <w:color w:val="auto"/>
              </w:rPr>
            </w:pPr>
            <w:r>
              <w:rPr>
                <w:rFonts w:ascii="Arial" w:cs="Arial" w:eastAsia="Arial" w:hAnsi="Arial"/>
                <w:sz w:val="18"/>
                <w:szCs w:val="18"/>
                <w:color w:val="auto"/>
              </w:rPr>
              <w:t>Fair value of plan assets, beginning of period</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178.9</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Actual return on plan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Settlements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tcPr>
          <w:p>
            <w:pPr>
              <w:ind w:left="6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Fair value of plan assets, end of period</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funded status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Funded status recognized in the Consolidated Balance Sheets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76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1"/>
        </w:trPr>
        <w:tc>
          <w:tcPr>
            <w:tcW w:w="7640" w:type="dxa"/>
            <w:vAlign w:val="bottom"/>
          </w:tcPr>
          <w:p>
            <w:pPr>
              <w:ind w:left="20"/>
              <w:spacing w:after="0"/>
              <w:rPr>
                <w:sz w:val="20"/>
                <w:szCs w:val="20"/>
                <w:color w:val="auto"/>
              </w:rPr>
            </w:pPr>
            <w:r>
              <w:rPr>
                <w:rFonts w:ascii="Arial" w:cs="Arial" w:eastAsia="Arial" w:hAnsi="Arial"/>
                <w:sz w:val="18"/>
                <w:szCs w:val="18"/>
                <w:color w:val="auto"/>
              </w:rPr>
              <w:t>Net funded status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60" w:right="1000" w:hanging="170"/>
        <w:spacing w:after="0" w:line="204" w:lineRule="auto"/>
        <w:tabs>
          <w:tab w:leader="none" w:pos="615" w:val="left"/>
        </w:tabs>
        <w:numPr>
          <w:ilvl w:val="0"/>
          <w:numId w:val="82"/>
        </w:numPr>
        <w:rPr>
          <w:rFonts w:ascii="Arial" w:cs="Arial" w:eastAsia="Arial" w:hAnsi="Arial"/>
          <w:sz w:val="28"/>
          <w:szCs w:val="28"/>
          <w:b w:val="1"/>
          <w:bCs w:val="1"/>
          <w:color w:val="auto"/>
          <w:vertAlign w:val="superscript"/>
        </w:rPr>
      </w:pPr>
      <w:r>
        <w:rPr>
          <w:rFonts w:ascii="Arial" w:cs="Arial" w:eastAsia="Arial" w:hAnsi="Arial"/>
          <w:sz w:val="18"/>
          <w:szCs w:val="18"/>
          <w:color w:val="auto"/>
        </w:rPr>
        <w:t>Year-over-year fluctuations in "Actuarial loss (gain)" are primarily driven by changes in the weighted average discount rate assumptions.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accumulated benefit obligation was not materially different from our projected benefit obligation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9" w:lineRule="exact"/>
        <w:rPr>
          <w:sz w:val="20"/>
          <w:szCs w:val="20"/>
          <w:color w:val="auto"/>
        </w:rPr>
      </w:pPr>
    </w:p>
    <w:p>
      <w:pPr>
        <w:ind w:right="40" w:firstLine="442"/>
        <w:spacing w:after="0" w:line="282" w:lineRule="auto"/>
        <w:rPr>
          <w:sz w:val="20"/>
          <w:szCs w:val="20"/>
          <w:color w:val="auto"/>
        </w:rPr>
      </w:pPr>
      <w:r>
        <w:rPr>
          <w:rFonts w:ascii="Arial" w:cs="Arial" w:eastAsia="Arial" w:hAnsi="Arial"/>
          <w:sz w:val="18"/>
          <w:szCs w:val="18"/>
          <w:color w:val="auto"/>
        </w:rPr>
        <w:t>Amounts and activity included in “Accumulated other comprehensive loss” in the Consolidated Balance Sheets associated with pensions are reflected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0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Actuarial</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Rates Change</w:t>
            </w: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160" w:type="dxa"/>
            <w:vAlign w:val="bottom"/>
          </w:tcPr>
          <w:p>
            <w:pPr>
              <w:jc w:val="right"/>
              <w:ind w:right="41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4"/>
        </w:trPr>
        <w:tc>
          <w:tcPr>
            <w:tcW w:w="40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Gross accumulated other comprehensive income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center"/>
              <w:ind w:left="460"/>
              <w:spacing w:after="0"/>
              <w:rPr>
                <w:sz w:val="20"/>
                <w:szCs w:val="20"/>
                <w:color w:val="auto"/>
              </w:rPr>
            </w:pPr>
            <w:r>
              <w:rPr>
                <w:rFonts w:ascii="Arial" w:cs="Arial" w:eastAsia="Arial" w:hAnsi="Arial"/>
                <w:sz w:val="18"/>
                <w:szCs w:val="18"/>
                <w:b w:val="1"/>
                <w:bCs w:val="1"/>
                <w:color w:val="auto"/>
                <w:w w:val="96"/>
              </w:rPr>
              <w:t>(.2)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center"/>
              <w:ind w:left="678"/>
              <w:spacing w:after="0"/>
              <w:rPr>
                <w:sz w:val="20"/>
                <w:szCs w:val="20"/>
                <w:color w:val="auto"/>
              </w:rPr>
            </w:pPr>
            <w:r>
              <w:rPr>
                <w:rFonts w:ascii="Arial" w:cs="Arial" w:eastAsia="Arial" w:hAnsi="Arial"/>
                <w:sz w:val="18"/>
                <w:szCs w:val="18"/>
                <w:b w:val="1"/>
                <w:bCs w:val="1"/>
                <w:color w:val="auto"/>
                <w:w w:val="95"/>
              </w:rPr>
              <w:t>7.8</w:t>
            </w:r>
          </w:p>
        </w:tc>
        <w:tc>
          <w:tcPr>
            <w:tcW w:w="0" w:type="dxa"/>
            <w:vAlign w:val="bottom"/>
          </w:tcPr>
          <w:p>
            <w:pPr>
              <w:spacing w:after="0"/>
              <w:rPr>
                <w:sz w:val="1"/>
                <w:szCs w:val="1"/>
                <w:color w:val="auto"/>
              </w:rPr>
            </w:pPr>
          </w:p>
        </w:tc>
      </w:tr>
      <w:tr>
        <w:trPr>
          <w:trHeight w:val="241"/>
        </w:trPr>
        <w:tc>
          <w:tcPr>
            <w:tcW w:w="4080" w:type="dxa"/>
            <w:vAlign w:val="bottom"/>
            <w:shd w:val="clear" w:color="auto" w:fill="CCEEFF"/>
          </w:tcPr>
          <w:p>
            <w:pPr>
              <w:ind w:left="20"/>
              <w:spacing w:after="0" w:line="241" w:lineRule="exact"/>
              <w:rPr>
                <w:sz w:val="20"/>
                <w:szCs w:val="20"/>
                <w:color w:val="auto"/>
              </w:rPr>
            </w:pPr>
            <w:r>
              <w:rPr>
                <w:rFonts w:ascii="Arial" w:cs="Arial" w:eastAsia="Arial" w:hAnsi="Arial"/>
                <w:sz w:val="18"/>
                <w:szCs w:val="18"/>
                <w:color w:val="auto"/>
              </w:rPr>
              <w:t xml:space="preserve">(loss) </w:t>
            </w:r>
            <w:r>
              <w:rPr>
                <w:rFonts w:ascii="Arial" w:cs="Arial" w:eastAsia="Arial" w:hAnsi="Arial"/>
                <w:sz w:val="27"/>
                <w:szCs w:val="27"/>
                <w:b w:val="1"/>
                <w:bCs w:val="1"/>
                <w:color w:val="auto"/>
                <w:vertAlign w:val="superscript"/>
              </w:rPr>
              <w:t>1</w:t>
            </w:r>
          </w:p>
        </w:tc>
        <w:tc>
          <w:tcPr>
            <w:tcW w:w="1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center"/>
              <w:ind w:left="36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left="658"/>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CCEEFF"/>
          </w:tcPr>
          <w:p>
            <w:pPr>
              <w:jc w:val="center"/>
              <w:ind w:left="460"/>
              <w:spacing w:after="0"/>
              <w:rPr>
                <w:sz w:val="20"/>
                <w:szCs w:val="20"/>
                <w:color w:val="auto"/>
              </w:rPr>
            </w:pPr>
            <w:r>
              <w:rPr>
                <w:rFonts w:ascii="Arial" w:cs="Arial" w:eastAsia="Arial" w:hAnsi="Arial"/>
                <w:sz w:val="18"/>
                <w:szCs w:val="18"/>
                <w:b w:val="1"/>
                <w:bCs w:val="1"/>
                <w:color w:val="auto"/>
                <w:w w:val="96"/>
              </w:rPr>
              <w:t>(.2)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center"/>
              <w:ind w:left="678"/>
              <w:spacing w:after="0"/>
              <w:rPr>
                <w:sz w:val="20"/>
                <w:szCs w:val="20"/>
                <w:color w:val="auto"/>
              </w:rPr>
            </w:pPr>
            <w:r>
              <w:rPr>
                <w:rFonts w:ascii="Arial" w:cs="Arial" w:eastAsia="Arial" w:hAnsi="Arial"/>
                <w:sz w:val="18"/>
                <w:szCs w:val="18"/>
                <w:b w:val="1"/>
                <w:bCs w:val="1"/>
                <w:color w:val="auto"/>
                <w:w w:val="95"/>
              </w:rPr>
              <w:t>6.3</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440" w:hanging="111"/>
        <w:spacing w:after="0"/>
        <w:tabs>
          <w:tab w:leader="none" w:pos="440" w:val="left"/>
        </w:tabs>
        <w:numPr>
          <w:ilvl w:val="0"/>
          <w:numId w:val="83"/>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amortization includes a $22.0 pension settlement. See </w:t>
      </w:r>
      <w:r>
        <w:rPr>
          <w:rFonts w:ascii="Arial" w:cs="Arial" w:eastAsia="Arial" w:hAnsi="Arial"/>
          <w:sz w:val="18"/>
          <w:szCs w:val="18"/>
          <w:u w:val="single" w:color="auto"/>
          <w:color w:val="0000FF"/>
        </w:rPr>
        <w:t>Note O</w:t>
      </w:r>
      <w:r>
        <w:rPr>
          <w:rFonts w:ascii="Arial" w:cs="Arial" w:eastAsia="Arial" w:hAnsi="Arial"/>
          <w:sz w:val="18"/>
          <w:szCs w:val="18"/>
          <w:color w:val="auto"/>
        </w:rPr>
        <w:t xml:space="preserve"> for the associated income tax impact.</w:t>
      </w:r>
    </w:p>
    <w:p>
      <w:pPr>
        <w:spacing w:after="0" w:line="77" w:lineRule="exact"/>
        <w:rPr>
          <w:rFonts w:ascii="Arial" w:cs="Arial" w:eastAsia="Arial" w:hAnsi="Arial"/>
          <w:sz w:val="28"/>
          <w:szCs w:val="28"/>
          <w:b w:val="1"/>
          <w:bCs w:val="1"/>
          <w:color w:val="auto"/>
          <w:vertAlign w:val="superscript"/>
        </w:rPr>
      </w:pPr>
    </w:p>
    <w:p>
      <w:pPr>
        <w:spacing w:after="0"/>
        <w:rPr>
          <w:rFonts w:ascii="Arial" w:cs="Arial" w:eastAsia="Arial" w:hAnsi="Arial"/>
          <w:sz w:val="28"/>
          <w:szCs w:val="28"/>
          <w:b w:val="1"/>
          <w:bCs w:val="1"/>
          <w:color w:val="auto"/>
          <w:vertAlign w:val="superscript"/>
        </w:rPr>
      </w:pPr>
      <w:r>
        <w:rPr>
          <w:rFonts w:ascii="Arial" w:cs="Arial" w:eastAsia="Arial" w:hAnsi="Arial"/>
          <w:sz w:val="18"/>
          <w:szCs w:val="18"/>
          <w:b w:val="1"/>
          <w:bCs w:val="1"/>
          <w:i w:val="1"/>
          <w:iCs w:val="1"/>
          <w:color w:val="auto"/>
        </w:rPr>
        <w:t>Net Pension Expense (Income)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pension expense (income) for the years ended December 31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r>
      <w:tr>
        <w:trPr>
          <w:trHeight w:val="228"/>
        </w:trPr>
        <w:tc>
          <w:tcPr>
            <w:tcW w:w="72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9.2</w:t>
            </w:r>
          </w:p>
        </w:tc>
      </w:tr>
      <w:tr>
        <w:trPr>
          <w:trHeight w:val="228"/>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r>
      <w:tr>
        <w:trPr>
          <w:trHeight w:val="228"/>
        </w:trPr>
        <w:tc>
          <w:tcPr>
            <w:tcW w:w="7280" w:type="dxa"/>
            <w:vAlign w:val="bottom"/>
          </w:tcPr>
          <w:p>
            <w:pPr>
              <w:ind w:left="20"/>
              <w:spacing w:after="0"/>
              <w:rPr>
                <w:sz w:val="20"/>
                <w:szCs w:val="20"/>
                <w:color w:val="auto"/>
              </w:rPr>
            </w:pPr>
            <w:r>
              <w:rPr>
                <w:rFonts w:ascii="Arial" w:cs="Arial" w:eastAsia="Arial" w:hAnsi="Arial"/>
                <w:sz w:val="18"/>
                <w:szCs w:val="18"/>
                <w:color w:val="auto"/>
              </w:rPr>
              <w:t>Recognized net actuarial loss</w:t>
            </w:r>
          </w:p>
        </w:tc>
        <w:tc>
          <w:tcPr>
            <w:tcW w:w="3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w:t>
            </w:r>
          </w:p>
        </w:tc>
      </w:tr>
      <w:tr>
        <w:trPr>
          <w:trHeight w:val="228"/>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Curtailments and settlements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1"/>
        </w:trPr>
        <w:tc>
          <w:tcPr>
            <w:tcW w:w="7280" w:type="dxa"/>
            <w:vAlign w:val="bottom"/>
          </w:tcPr>
          <w:p>
            <w:pPr>
              <w:ind w:left="340"/>
              <w:spacing w:after="0"/>
              <w:rPr>
                <w:sz w:val="20"/>
                <w:szCs w:val="20"/>
                <w:color w:val="auto"/>
              </w:rPr>
            </w:pPr>
            <w:r>
              <w:rPr>
                <w:rFonts w:ascii="Arial" w:cs="Arial" w:eastAsia="Arial" w:hAnsi="Arial"/>
                <w:sz w:val="18"/>
                <w:szCs w:val="18"/>
                <w:color w:val="auto"/>
              </w:rPr>
              <w:t>Net pension expense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5"/>
        </w:trPr>
        <w:tc>
          <w:tcPr>
            <w:tcW w:w="7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assumptions for pension costs: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8"/>
        </w:trPr>
        <w:tc>
          <w:tcPr>
            <w:tcW w:w="7280" w:type="dxa"/>
            <w:vAlign w:val="bottom"/>
          </w:tcPr>
          <w:p>
            <w:pPr>
              <w:ind w:left="340"/>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8"/>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Rate of compensation increase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8"/>
        </w:trPr>
        <w:tc>
          <w:tcPr>
            <w:tcW w:w="7280" w:type="dxa"/>
            <w:vAlign w:val="bottom"/>
          </w:tcPr>
          <w:p>
            <w:pPr>
              <w:ind w:left="3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8"/>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assumptions for benefit obligation: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280" w:type="dxa"/>
            <w:vAlign w:val="bottom"/>
          </w:tcPr>
          <w:p>
            <w:pPr>
              <w:ind w:left="340"/>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8"/>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Rate of compensation increase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Assumptions used for domestic and international plans were not significantly different.</w:t>
      </w:r>
    </w:p>
    <w:p>
      <w:pPr>
        <w:spacing w:after="0" w:line="101" w:lineRule="exact"/>
        <w:rPr>
          <w:sz w:val="20"/>
          <w:szCs w:val="20"/>
          <w:color w:val="auto"/>
        </w:rPr>
      </w:pPr>
    </w:p>
    <w:p>
      <w:pPr>
        <w:ind w:right="260" w:firstLine="442"/>
        <w:spacing w:after="0" w:line="282" w:lineRule="auto"/>
        <w:rPr>
          <w:sz w:val="20"/>
          <w:szCs w:val="20"/>
          <w:color w:val="auto"/>
        </w:rPr>
      </w:pPr>
      <w:r>
        <w:rPr>
          <w:rFonts w:ascii="Arial" w:cs="Arial" w:eastAsia="Arial" w:hAnsi="Arial"/>
          <w:sz w:val="18"/>
          <w:szCs w:val="18"/>
          <w:color w:val="auto"/>
        </w:rPr>
        <w:t>The components of net pension expense other than the service cost are included in the line item "Other (income) expense, net" in the Consolidated Statements of Operations.</w:t>
      </w:r>
    </w:p>
    <w:p>
      <w:pPr>
        <w:spacing w:after="0" w:line="36" w:lineRule="exact"/>
        <w:rPr>
          <w:sz w:val="20"/>
          <w:szCs w:val="20"/>
          <w:color w:val="auto"/>
        </w:rPr>
      </w:pPr>
    </w:p>
    <w:p>
      <w:pPr>
        <w:ind w:right="60" w:firstLine="442"/>
        <w:spacing w:after="0" w:line="265" w:lineRule="auto"/>
        <w:rPr>
          <w:sz w:val="20"/>
          <w:szCs w:val="20"/>
          <w:color w:val="auto"/>
        </w:rPr>
      </w:pPr>
      <w:r>
        <w:rPr>
          <w:rFonts w:ascii="Arial" w:cs="Arial" w:eastAsia="Arial" w:hAnsi="Arial"/>
          <w:sz w:val="18"/>
          <w:szCs w:val="18"/>
          <w:color w:val="auto"/>
        </w:rPr>
        <w:t>We use the Pension Liability Index rate to determine the discount rate used for our significant pension plans. The Pension Liability Index rate is a calculated rate using yearly spot rates matched against expected future benefit payments. The discount rates used for our other, primarily foreign, plans are based on rates appropriate for the respective country and the plan obligations.</w:t>
      </w:r>
    </w:p>
    <w:p>
      <w:pPr>
        <w:spacing w:after="0" w:line="38" w:lineRule="exact"/>
        <w:rPr>
          <w:sz w:val="20"/>
          <w:szCs w:val="20"/>
          <w:color w:val="auto"/>
        </w:rPr>
      </w:pPr>
    </w:p>
    <w:p>
      <w:pPr>
        <w:ind w:right="140" w:firstLine="402"/>
        <w:spacing w:after="0" w:line="282" w:lineRule="auto"/>
        <w:rPr>
          <w:sz w:val="20"/>
          <w:szCs w:val="20"/>
          <w:color w:val="auto"/>
        </w:rPr>
      </w:pPr>
      <w:r>
        <w:rPr>
          <w:rFonts w:ascii="Arial" w:cs="Arial" w:eastAsia="Arial" w:hAnsi="Arial"/>
          <w:sz w:val="18"/>
          <w:szCs w:val="18"/>
          <w:color w:val="auto"/>
        </w:rPr>
        <w:t>The overall expected long-term rate of return is based on each plan’s historical experience and our expectations of future returns based upon each plan’s investment holdings, as discussed below.</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areas in which we utilize fair value measures of pension plan investments are presented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Year Ended December 31, 2025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Year Ended December 31, 2024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23"/>
                <w:szCs w:val="23"/>
                <w:b w:val="1"/>
                <w:bCs w:val="1"/>
                <w:color w:val="auto"/>
                <w:vertAlign w:val="superscript"/>
              </w:rPr>
              <w:t>1</w:t>
            </w:r>
          </w:p>
        </w:tc>
        <w:tc>
          <w:tcPr>
            <w:tcW w:w="1080" w:type="dxa"/>
            <w:vAlign w:val="bottom"/>
            <w:gridSpan w:val="3"/>
          </w:tcPr>
          <w:p>
            <w:pPr>
              <w:jc w:val="center"/>
              <w:ind w:right="120"/>
              <w:spacing w:after="0" w:line="136" w:lineRule="exact"/>
              <w:rPr>
                <w:sz w:val="20"/>
                <w:szCs w:val="20"/>
                <w:color w:val="auto"/>
              </w:rPr>
            </w:pPr>
            <w:r>
              <w:rPr>
                <w:rFonts w:ascii="Arial" w:cs="Arial" w:eastAsia="Arial" w:hAnsi="Arial"/>
                <w:sz w:val="14"/>
                <w:szCs w:val="14"/>
                <w:b w:val="1"/>
                <w:bCs w:val="1"/>
                <w:color w:val="auto"/>
              </w:rPr>
              <w:t>Measured at</w:t>
            </w:r>
          </w:p>
        </w:tc>
        <w:tc>
          <w:tcPr>
            <w:tcW w:w="20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8"/>
                <w:szCs w:val="18"/>
                <w:b w:val="1"/>
                <w:bCs w:val="1"/>
                <w:color w:val="auto"/>
                <w:vertAlign w:val="superscript"/>
              </w:rPr>
              <w:t>1</w:t>
            </w:r>
          </w:p>
        </w:tc>
        <w:tc>
          <w:tcPr>
            <w:tcW w:w="1080" w:type="dxa"/>
            <w:vAlign w:val="bottom"/>
            <w:gridSpan w:val="3"/>
          </w:tcPr>
          <w:p>
            <w:pPr>
              <w:jc w:val="center"/>
              <w:ind w:right="120"/>
              <w:spacing w:after="0" w:line="136" w:lineRule="exact"/>
              <w:rPr>
                <w:sz w:val="20"/>
                <w:szCs w:val="20"/>
                <w:color w:val="auto"/>
              </w:rPr>
            </w:pPr>
            <w:r>
              <w:rPr>
                <w:rFonts w:ascii="Arial" w:cs="Arial" w:eastAsia="Arial" w:hAnsi="Arial"/>
                <w:sz w:val="14"/>
                <w:szCs w:val="14"/>
                <w:b w:val="1"/>
                <w:bCs w:val="1"/>
                <w:color w:val="auto"/>
              </w:rPr>
              <w:t>Measured at</w:t>
            </w:r>
          </w:p>
        </w:tc>
        <w:tc>
          <w:tcPr>
            <w:tcW w:w="200" w:type="dxa"/>
            <w:vAlign w:val="bottom"/>
          </w:tcPr>
          <w:p>
            <w:pPr>
              <w:spacing w:after="0"/>
              <w:rPr>
                <w:sz w:val="11"/>
                <w:szCs w:val="11"/>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line="200" w:lineRule="exact"/>
              <w:rPr>
                <w:sz w:val="20"/>
                <w:szCs w:val="20"/>
                <w:color w:val="auto"/>
              </w:rPr>
            </w:pPr>
            <w:r>
              <w:rPr>
                <w:rFonts w:ascii="Arial" w:cs="Arial" w:eastAsia="Arial" w:hAnsi="Arial"/>
                <w:sz w:val="14"/>
                <w:szCs w:val="14"/>
                <w:b w:val="1"/>
                <w:bCs w:val="1"/>
                <w:color w:val="auto"/>
                <w:w w:val="94"/>
              </w:rPr>
              <w:t xml:space="preserve">NAV </w:t>
            </w:r>
            <w:r>
              <w:rPr>
                <w:rFonts w:ascii="Arial" w:cs="Arial" w:eastAsia="Arial" w:hAnsi="Arial"/>
                <w:sz w:val="18"/>
                <w:szCs w:val="18"/>
                <w:b w:val="1"/>
                <w:bCs w:val="1"/>
                <w:color w:val="auto"/>
                <w:w w:val="94"/>
                <w:vertAlign w:val="superscript"/>
              </w:rPr>
              <w:t>2</w:t>
            </w: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line="200" w:lineRule="exact"/>
              <w:rPr>
                <w:sz w:val="20"/>
                <w:szCs w:val="20"/>
                <w:color w:val="auto"/>
              </w:rPr>
            </w:pPr>
            <w:r>
              <w:rPr>
                <w:rFonts w:ascii="Arial" w:cs="Arial" w:eastAsia="Arial" w:hAnsi="Arial"/>
                <w:sz w:val="14"/>
                <w:szCs w:val="14"/>
                <w:b w:val="1"/>
                <w:bCs w:val="1"/>
                <w:color w:val="auto"/>
                <w:w w:val="94"/>
              </w:rPr>
              <w:t xml:space="preserve">NAV </w:t>
            </w:r>
            <w:r>
              <w:rPr>
                <w:rFonts w:ascii="Arial" w:cs="Arial" w:eastAsia="Arial" w:hAnsi="Arial"/>
                <w:sz w:val="18"/>
                <w:szCs w:val="18"/>
                <w:b w:val="1"/>
                <w:bCs w:val="1"/>
                <w:color w:val="auto"/>
                <w:w w:val="94"/>
                <w:vertAlign w:val="superscript"/>
              </w:rPr>
              <w:t>2</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5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Mutual and pooled</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580" w:type="dxa"/>
            <w:vAlign w:val="bottom"/>
          </w:tcPr>
          <w:p>
            <w:pPr>
              <w:ind w:left="240"/>
              <w:spacing w:after="0"/>
              <w:rPr>
                <w:sz w:val="20"/>
                <w:szCs w:val="20"/>
                <w:color w:val="auto"/>
              </w:rPr>
            </w:pPr>
            <w:r>
              <w:rPr>
                <w:rFonts w:ascii="Arial" w:cs="Arial" w:eastAsia="Arial" w:hAnsi="Arial"/>
                <w:sz w:val="18"/>
                <w:szCs w:val="18"/>
                <w:color w:val="auto"/>
              </w:rPr>
              <w:t>Fixed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8"/>
        </w:trPr>
        <w:tc>
          <w:tcPr>
            <w:tcW w:w="1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Equities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74"/>
        </w:trPr>
        <w:tc>
          <w:tcPr>
            <w:tcW w:w="1580" w:type="dxa"/>
            <w:vAlign w:val="bottom"/>
          </w:tcPr>
          <w:p>
            <w:pPr>
              <w:ind w:left="20"/>
              <w:spacing w:after="0" w:line="175" w:lineRule="exact"/>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80" w:type="dxa"/>
            <w:vAlign w:val="bottom"/>
          </w:tcPr>
          <w:p>
            <w:pPr>
              <w:ind w:left="20"/>
              <w:spacing w:after="0" w:line="175" w:lineRule="exact"/>
              <w:rPr>
                <w:sz w:val="20"/>
                <w:szCs w:val="20"/>
                <w:color w:val="auto"/>
              </w:rPr>
            </w:pPr>
            <w:r>
              <w:rPr>
                <w:rFonts w:ascii="Arial" w:cs="Arial" w:eastAsia="Arial" w:hAnsi="Arial"/>
                <w:sz w:val="18"/>
                <w:szCs w:val="18"/>
                <w:color w:val="auto"/>
              </w:rPr>
              <w:t>funds, cash and</w:t>
            </w:r>
          </w:p>
        </w:tc>
        <w:tc>
          <w:tcPr>
            <w:tcW w:w="14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1"/>
        </w:trPr>
        <w:tc>
          <w:tcPr>
            <w:tcW w:w="158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580" w:type="dxa"/>
            <w:vAlign w:val="bottom"/>
            <w:tcBorders>
              <w:top w:val="single" w:sz="8" w:color="CCEEFF"/>
            </w:tcBorders>
            <w:shd w:val="clear" w:color="auto" w:fill="CCEEFF"/>
          </w:tcPr>
          <w:p>
            <w:pPr>
              <w:ind w:left="240"/>
              <w:spacing w:after="0" w:line="154" w:lineRule="exact"/>
              <w:rPr>
                <w:sz w:val="20"/>
                <w:szCs w:val="20"/>
                <w:color w:val="auto"/>
              </w:rPr>
            </w:pPr>
            <w:r>
              <w:rPr>
                <w:rFonts w:ascii="Arial" w:cs="Arial" w:eastAsia="Arial" w:hAnsi="Arial"/>
                <w:sz w:val="17"/>
                <w:szCs w:val="17"/>
                <w:color w:val="auto"/>
              </w:rPr>
              <w:t>Total</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ind w:left="240"/>
              <w:spacing w:after="0" w:line="175" w:lineRule="exact"/>
              <w:rPr>
                <w:sz w:val="20"/>
                <w:szCs w:val="20"/>
                <w:color w:val="auto"/>
              </w:rPr>
            </w:pPr>
            <w:r>
              <w:rPr>
                <w:rFonts w:ascii="Arial" w:cs="Arial" w:eastAsia="Arial" w:hAnsi="Arial"/>
                <w:sz w:val="18"/>
                <w:szCs w:val="18"/>
                <w:color w:val="auto"/>
              </w:rPr>
              <w:t>investments at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fair value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900" w:right="540" w:hanging="169"/>
        <w:spacing w:after="0" w:line="204" w:lineRule="auto"/>
        <w:tabs>
          <w:tab w:leader="none" w:pos="855" w:val="left"/>
        </w:tabs>
        <w:numPr>
          <w:ilvl w:val="0"/>
          <w:numId w:val="84"/>
        </w:numPr>
        <w:rPr>
          <w:rFonts w:ascii="Arial" w:cs="Arial" w:eastAsia="Arial" w:hAnsi="Arial"/>
          <w:sz w:val="28"/>
          <w:szCs w:val="28"/>
          <w:b w:val="1"/>
          <w:bCs w:val="1"/>
          <w:color w:val="auto"/>
          <w:vertAlign w:val="superscript"/>
        </w:rPr>
      </w:pPr>
      <w:r>
        <w:rPr>
          <w:rFonts w:ascii="Arial" w:cs="Arial" w:eastAsia="Arial" w:hAnsi="Arial"/>
          <w:sz w:val="18"/>
          <w:szCs w:val="18"/>
          <w:color w:val="auto"/>
        </w:rPr>
        <w:t>We entered into a buy-in arrangement during 2023 for one of our frozen international plans. The bulk purchase annuity policy assets from this transaction are classified as level 3 in the fair value hierarchy.</w:t>
      </w:r>
    </w:p>
    <w:p>
      <w:pPr>
        <w:spacing w:after="0" w:line="73" w:lineRule="exact"/>
        <w:rPr>
          <w:sz w:val="20"/>
          <w:szCs w:val="20"/>
          <w:color w:val="auto"/>
        </w:rPr>
      </w:pPr>
    </w:p>
    <w:p>
      <w:pPr>
        <w:ind w:left="900" w:right="20" w:hanging="169"/>
        <w:spacing w:after="0" w:line="204" w:lineRule="auto"/>
        <w:tabs>
          <w:tab w:leader="none" w:pos="855" w:val="left"/>
        </w:tabs>
        <w:numPr>
          <w:ilvl w:val="0"/>
          <w:numId w:val="85"/>
        </w:numPr>
        <w:rPr>
          <w:rFonts w:ascii="Arial" w:cs="Arial" w:eastAsia="Arial" w:hAnsi="Arial"/>
          <w:sz w:val="28"/>
          <w:szCs w:val="28"/>
          <w:b w:val="1"/>
          <w:bCs w:val="1"/>
          <w:color w:val="auto"/>
          <w:vertAlign w:val="superscript"/>
        </w:rPr>
      </w:pPr>
      <w:r>
        <w:rPr>
          <w:rFonts w:ascii="Arial" w:cs="Arial" w:eastAsia="Arial" w:hAnsi="Arial"/>
          <w:sz w:val="18"/>
          <w:szCs w:val="18"/>
          <w:color w:val="auto"/>
        </w:rPr>
        <w:t>Certain investments that are measured at fair value using the net asset value (NAV) per share (or its equivalent) practical expedient have not been classified in the fair value hierarchy.</w:t>
      </w:r>
    </w:p>
    <w:p>
      <w:pPr>
        <w:spacing w:after="0" w:line="113" w:lineRule="exact"/>
        <w:rPr>
          <w:sz w:val="20"/>
          <w:szCs w:val="20"/>
          <w:color w:val="auto"/>
        </w:rPr>
      </w:pPr>
    </w:p>
    <w:p>
      <w:pPr>
        <w:ind w:right="100" w:firstLine="442"/>
        <w:spacing w:after="0" w:line="257" w:lineRule="auto"/>
        <w:rPr>
          <w:sz w:val="20"/>
          <w:szCs w:val="20"/>
          <w:color w:val="auto"/>
        </w:rPr>
      </w:pPr>
      <w:r>
        <w:rPr>
          <w:rFonts w:ascii="Arial" w:cs="Arial" w:eastAsia="Arial" w:hAnsi="Arial"/>
          <w:sz w:val="18"/>
          <w:szCs w:val="18"/>
          <w:color w:val="auto"/>
        </w:rPr>
        <w:t>Our investment policy and strategies are established with a long-term view in mind. We strive for a sufficiently diversified asset mix to minimize the risk of a material loss to the portfolio value due to the devaluation of any single investment. In determining the appropriate asset mix, our financial strength and ability to fund potential shortfalls that might result from poor investment performance are considered. The remaining significant plan has a target allocation of 75% equities and 25% fixed income, as historical equity returns have tended to exceed bond returns over the long term.</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Contributions and Benefit Payments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expect to contribute approximately $2.0 to our defined benefit pension plans in 2026.</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36"/>
        </w:trPr>
        <w:tc>
          <w:tcPr>
            <w:tcW w:w="6240" w:type="dxa"/>
            <w:vAlign w:val="bottom"/>
            <w:gridSpan w:val="2"/>
          </w:tcPr>
          <w:p>
            <w:pPr>
              <w:spacing w:after="0"/>
              <w:rPr>
                <w:sz w:val="20"/>
                <w:szCs w:val="20"/>
                <w:color w:val="auto"/>
              </w:rPr>
            </w:pPr>
            <w:r>
              <w:rPr>
                <w:rFonts w:ascii="Arial" w:cs="Arial" w:eastAsia="Arial" w:hAnsi="Arial"/>
                <w:sz w:val="18"/>
                <w:szCs w:val="18"/>
                <w:color w:val="auto"/>
              </w:rPr>
              <w:t>Estimated benefit payments expected over the next 10 years are as follows:</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vMerge w:val="continue"/>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2027</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2029</w:t>
            </w: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8"/>
        </w:trPr>
        <w:tc>
          <w:tcPr>
            <w:tcW w:w="300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2030</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2031-2035</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86" w:lineRule="exact"/>
        <w:rPr>
          <w:sz w:val="20"/>
          <w:szCs w:val="20"/>
          <w:color w:val="auto"/>
        </w:rPr>
      </w:pPr>
    </w:p>
    <w:p>
      <w:pPr>
        <w:ind w:right="180" w:firstLine="402"/>
        <w:spacing w:after="0" w:line="282" w:lineRule="auto"/>
        <w:rPr>
          <w:sz w:val="20"/>
          <w:szCs w:val="20"/>
          <w:color w:val="auto"/>
        </w:rPr>
      </w:pPr>
      <w:r>
        <w:rPr>
          <w:rFonts w:ascii="Arial" w:cs="Arial" w:eastAsia="Arial" w:hAnsi="Arial"/>
          <w:sz w:val="18"/>
          <w:szCs w:val="18"/>
          <w:color w:val="auto"/>
        </w:rPr>
        <w:t>Total expense for our defined contribution plans was $14.9, $15.4, and $14.2 for the years ended December 31, 2025, 2024, and 2023,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previously had limited participation in one union-sponsored multi-employer defined benefit pension plan that covered selected</w:t>
      </w:r>
    </w:p>
    <w:p>
      <w:pPr>
        <w:spacing w:after="0" w:line="4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employees at one of the domestic locations in the Aerospace Products Group. In the third quarter of 2025, we sold the Aerospace Products Group (see </w:t>
      </w:r>
      <w:r>
        <w:rPr>
          <w:rFonts w:ascii="Arial" w:cs="Arial" w:eastAsia="Arial" w:hAnsi="Arial"/>
          <w:sz w:val="18"/>
          <w:szCs w:val="18"/>
          <w:u w:val="single" w:color="auto"/>
          <w:color w:val="0000FF"/>
        </w:rPr>
        <w:t>Note S</w:t>
      </w:r>
      <w:r>
        <w:rPr>
          <w:rFonts w:ascii="Arial" w:cs="Arial" w:eastAsia="Arial" w:hAnsi="Arial"/>
          <w:sz w:val="18"/>
          <w:szCs w:val="18"/>
          <w:color w:val="auto"/>
        </w:rPr>
        <w:t>), and we have no obligations related to this plan.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N—Other (income) expense, net</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"Other (income) expense, net" shown in the Consolidated Statements of Operations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jc w:val="right"/>
              <w:ind w:right="414"/>
              <w:spacing w:after="0"/>
              <w:rPr>
                <w:sz w:val="20"/>
                <w:szCs w:val="20"/>
                <w:color w:val="auto"/>
              </w:rPr>
            </w:pPr>
            <w:r>
              <w:rPr>
                <w:rFonts w:ascii="Arial" w:cs="Arial" w:eastAsia="Arial" w:hAnsi="Arial"/>
                <w:sz w:val="14"/>
                <w:szCs w:val="14"/>
                <w:b w:val="1"/>
                <w:bCs w:val="1"/>
                <w:color w:val="auto"/>
              </w:rPr>
              <w:t>Year Ended December 31,</w:t>
            </w:r>
          </w:p>
        </w:tc>
      </w:tr>
      <w:tr>
        <w:trPr>
          <w:trHeight w:val="208"/>
        </w:trPr>
        <w:tc>
          <w:tcPr>
            <w:tcW w:w="22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r>
      <w:tr>
        <w:trPr>
          <w:trHeight w:val="202"/>
        </w:trPr>
        <w:tc>
          <w:tcPr>
            <w:tcW w:w="850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7"/>
                <w:szCs w:val="17"/>
                <w:color w:val="auto"/>
              </w:rPr>
              <w:t xml:space="preserve">Restructuring charges (See </w:t>
            </w:r>
            <w:r>
              <w:rPr>
                <w:rFonts w:ascii="Arial" w:cs="Arial" w:eastAsia="Arial" w:hAnsi="Arial"/>
                <w:sz w:val="17"/>
                <w:szCs w:val="17"/>
                <w:color w:val="0000FF"/>
              </w:rPr>
              <w:t>Note E</w:t>
            </w:r>
            <w:r>
              <w:rPr>
                <w:rFonts w:ascii="Arial" w:cs="Arial" w:eastAsia="Arial" w:hAnsi="Arial"/>
                <w:sz w:val="17"/>
                <w:szCs w:val="17"/>
                <w:color w:val="auto"/>
              </w:rPr>
              <w:t>)</w:t>
            </w:r>
          </w:p>
        </w:tc>
        <w:tc>
          <w:tcPr>
            <w:tcW w:w="2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b w:val="1"/>
                <w:bCs w:val="1"/>
                <w:color w:val="auto"/>
              </w:rPr>
              <w:t>11.1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2.9</w:t>
            </w:r>
          </w:p>
        </w:tc>
      </w:tr>
      <w:tr>
        <w:trPr>
          <w:trHeight w:val="228"/>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Currency loss (gain)</w:t>
            </w:r>
          </w:p>
        </w:tc>
        <w:tc>
          <w:tcPr>
            <w:tcW w:w="560" w:type="dxa"/>
            <w:vAlign w:val="bottom"/>
            <w:tcBorders>
              <w:top w:val="single" w:sz="8" w:color="0000FF"/>
            </w:tcBorders>
            <w:gridSpan w:val="2"/>
          </w:tcPr>
          <w:p>
            <w:pPr>
              <w:spacing w:after="0"/>
              <w:rPr>
                <w:sz w:val="19"/>
                <w:szCs w:val="19"/>
                <w:color w:val="auto"/>
              </w:rPr>
            </w:pPr>
          </w:p>
        </w:tc>
        <w:tc>
          <w:tcPr>
            <w:tcW w:w="5700" w:type="dxa"/>
            <w:vAlign w:val="bottom"/>
            <w:tcBorders>
              <w:top w:val="single" w:sz="8" w:color="CCEEFF"/>
            </w:tcBorders>
            <w:gridSpan w:val="4"/>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w:t>
            </w:r>
          </w:p>
        </w:tc>
      </w:tr>
      <w:tr>
        <w:trPr>
          <w:trHeight w:val="208"/>
        </w:trPr>
        <w:tc>
          <w:tcPr>
            <w:tcW w:w="8500" w:type="dxa"/>
            <w:vAlign w:val="bottom"/>
            <w:gridSpan w:val="7"/>
            <w:shd w:val="clear" w:color="auto" w:fill="CCEEFF"/>
          </w:tcPr>
          <w:p>
            <w:pPr>
              <w:ind w:left="20"/>
              <w:spacing w:after="0" w:line="188" w:lineRule="exact"/>
              <w:rPr>
                <w:sz w:val="20"/>
                <w:szCs w:val="20"/>
                <w:color w:val="auto"/>
              </w:rPr>
            </w:pPr>
            <w:r>
              <w:rPr>
                <w:rFonts w:ascii="Arial" w:cs="Arial" w:eastAsia="Arial" w:hAnsi="Arial"/>
                <w:sz w:val="18"/>
                <w:szCs w:val="18"/>
                <w:color w:val="auto"/>
              </w:rPr>
              <w:t xml:space="preserve">Gain from diversified investments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(7.7)</w:t>
            </w:r>
          </w:p>
        </w:tc>
      </w:tr>
      <w:tr>
        <w:trPr>
          <w:trHeight w:val="228"/>
        </w:trPr>
        <w:tc>
          <w:tcPr>
            <w:tcW w:w="584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Reduction to contingent purchase price liability</w:t>
            </w:r>
          </w:p>
        </w:tc>
        <w:tc>
          <w:tcPr>
            <w:tcW w:w="540" w:type="dxa"/>
            <w:vAlign w:val="bottom"/>
            <w:tcBorders>
              <w:top w:val="single" w:sz="8" w:color="0000FF"/>
            </w:tcBorders>
          </w:tcPr>
          <w:p>
            <w:pPr>
              <w:spacing w:after="0"/>
              <w:rPr>
                <w:sz w:val="19"/>
                <w:szCs w:val="19"/>
                <w:color w:val="auto"/>
              </w:rPr>
            </w:pPr>
          </w:p>
        </w:tc>
        <w:tc>
          <w:tcPr>
            <w:tcW w:w="2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(14.9)</w:t>
            </w:r>
          </w:p>
        </w:tc>
      </w:tr>
      <w:tr>
        <w:trPr>
          <w:trHeight w:val="208"/>
        </w:trPr>
        <w:tc>
          <w:tcPr>
            <w:tcW w:w="8500" w:type="dxa"/>
            <w:vAlign w:val="bottom"/>
            <w:gridSpan w:val="7"/>
            <w:shd w:val="clear" w:color="auto" w:fill="CCEEFF"/>
          </w:tcPr>
          <w:p>
            <w:pPr>
              <w:ind w:left="20"/>
              <w:spacing w:after="0" w:line="188" w:lineRule="exact"/>
              <w:rPr>
                <w:sz w:val="20"/>
                <w:szCs w:val="20"/>
                <w:color w:val="auto"/>
              </w:rPr>
            </w:pPr>
            <w:r>
              <w:rPr>
                <w:rFonts w:ascii="Arial" w:cs="Arial" w:eastAsia="Arial" w:hAnsi="Arial"/>
                <w:sz w:val="18"/>
                <w:szCs w:val="18"/>
                <w:color w:val="auto"/>
              </w:rPr>
              <w:t xml:space="preserve">Non-service pension income (See </w:t>
            </w:r>
            <w:r>
              <w:rPr>
                <w:rFonts w:ascii="Arial" w:cs="Arial" w:eastAsia="Arial" w:hAnsi="Arial"/>
                <w:sz w:val="18"/>
                <w:szCs w:val="18"/>
                <w:color w:val="0000FF"/>
              </w:rPr>
              <w:t>Note M</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line="188"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(.4)</w:t>
            </w:r>
          </w:p>
        </w:tc>
      </w:tr>
      <w:tr>
        <w:trPr>
          <w:trHeight w:val="228"/>
        </w:trPr>
        <w:tc>
          <w:tcPr>
            <w:tcW w:w="276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580" w:type="dxa"/>
            <w:vAlign w:val="bottom"/>
            <w:tcBorders>
              <w:top w:val="single" w:sz="8" w:color="0000FF"/>
              <w:bottom w:val="single" w:sz="8" w:color="CCEEFF"/>
            </w:tcBorders>
            <w:gridSpan w:val="2"/>
          </w:tcPr>
          <w:p>
            <w:pPr>
              <w:spacing w:after="0"/>
              <w:rPr>
                <w:sz w:val="19"/>
                <w:szCs w:val="19"/>
                <w:color w:val="auto"/>
              </w:rPr>
            </w:pPr>
          </w:p>
        </w:tc>
        <w:tc>
          <w:tcPr>
            <w:tcW w:w="5160" w:type="dxa"/>
            <w:vAlign w:val="bottom"/>
            <w:tcBorders>
              <w:top w:val="single" w:sz="8" w:color="CCEEFF"/>
              <w:bottom w:val="single" w:sz="8" w:color="CCEEFF"/>
            </w:tcBorders>
            <w:gridSpan w:val="3"/>
          </w:tcPr>
          <w:p>
            <w:pPr>
              <w:spacing w:after="0"/>
              <w:rPr>
                <w:sz w:val="19"/>
                <w:szCs w:val="19"/>
                <w:color w:val="auto"/>
              </w:rPr>
            </w:pPr>
          </w:p>
        </w:tc>
        <w:tc>
          <w:tcPr>
            <w:tcW w:w="200" w:type="dxa"/>
            <w:vAlign w:val="bottom"/>
            <w:tcBorders>
              <w:top w:val="single" w:sz="8" w:color="CCEEFF"/>
              <w:bottom w:val="single" w:sz="8" w:color="auto"/>
            </w:tcBorders>
          </w:tcPr>
          <w:p>
            <w:pPr>
              <w:spacing w:after="0"/>
              <w:rPr>
                <w:sz w:val="19"/>
                <w:szCs w:val="19"/>
                <w:color w:val="auto"/>
              </w:rPr>
            </w:pPr>
          </w:p>
        </w:tc>
        <w:tc>
          <w:tcPr>
            <w:tcW w:w="6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8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auto"/>
            </w:tcBorders>
          </w:tcPr>
          <w:p>
            <w:pPr>
              <w:spacing w:after="0"/>
              <w:rPr>
                <w:sz w:val="19"/>
                <w:szCs w:val="19"/>
                <w:color w:val="auto"/>
              </w:rPr>
            </w:pPr>
          </w:p>
        </w:tc>
        <w:tc>
          <w:tcPr>
            <w:tcW w:w="6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auto"/>
            </w:tcBorders>
          </w:tcPr>
          <w:p>
            <w:pPr>
              <w:spacing w:after="0"/>
              <w:rPr>
                <w:sz w:val="19"/>
                <w:szCs w:val="19"/>
                <w:color w:val="auto"/>
              </w:rPr>
            </w:pPr>
          </w:p>
        </w:tc>
        <w:tc>
          <w:tcPr>
            <w:tcW w:w="6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6"/>
        </w:trPr>
        <w:tc>
          <w:tcPr>
            <w:tcW w:w="8500" w:type="dxa"/>
            <w:vAlign w:val="bottom"/>
            <w:tcBorders>
              <w:bottom w:val="single" w:sz="8" w:color="CCEEFF"/>
            </w:tcBorders>
            <w:gridSpan w:val="7"/>
            <w:shd w:val="clear" w:color="auto" w:fill="CCEEFF"/>
          </w:tcPr>
          <w:p>
            <w:pPr>
              <w:ind w:left="300"/>
              <w:spacing w:after="0"/>
              <w:rPr>
                <w:sz w:val="20"/>
                <w:szCs w:val="20"/>
                <w:color w:val="auto"/>
              </w:rPr>
            </w:pPr>
            <w:r>
              <w:rPr>
                <w:rFonts w:ascii="Arial" w:cs="Arial" w:eastAsia="Arial" w:hAnsi="Arial"/>
                <w:sz w:val="18"/>
                <w:szCs w:val="18"/>
                <w:color w:val="auto"/>
              </w:rPr>
              <w:t>Other (income) expense, net 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80" w:firstLine="402"/>
        <w:spacing w:after="0" w:line="288" w:lineRule="auto"/>
        <w:rPr>
          <w:sz w:val="20"/>
          <w:szCs w:val="20"/>
          <w:color w:val="auto"/>
        </w:rPr>
      </w:pPr>
      <w:r>
        <w:rPr>
          <w:rFonts w:ascii="Arial" w:cs="Arial" w:eastAsia="Arial" w:hAnsi="Arial"/>
          <w:sz w:val="17"/>
          <w:szCs w:val="17"/>
          <w:color w:val="auto"/>
        </w:rPr>
        <w:t>Net gain on disposals of assets and businesses on our Consolidated Statements of Operations includes $34.7 related to an insurance claim for a fire that damaged and destroyed equipment and machinery that had been stored in a leased location for the Bedding Products segment. The remaining $29.4 represents the net gains on sales of real estate and businesses other than the Aerospace Products Group.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O—Income Taxes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"Earnings (loss) before income taxes" shown in the Consolidated Statements of Operations are as follows:</w:t>
      </w:r>
    </w:p>
    <w:p>
      <w:pPr>
        <w:spacing w:after="0" w:line="151" w:lineRule="exact"/>
        <w:rPr>
          <w:sz w:val="20"/>
          <w:szCs w:val="20"/>
          <w:color w:val="auto"/>
        </w:rPr>
      </w:pPr>
    </w:p>
    <w:tbl>
      <w:tblPr>
        <w:tblLayout w:type="fixed"/>
        <w:tblInd w:w="176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194"/>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8"/>
              </w:rPr>
              <w:t>(388.6)</w:t>
            </w:r>
          </w:p>
        </w:tc>
      </w:tr>
      <w:tr>
        <w:trPr>
          <w:trHeight w:val="22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color w:val="auto"/>
                <w:w w:val="97"/>
              </w:rPr>
              <w:t>215.2</w:t>
            </w:r>
          </w:p>
        </w:tc>
      </w:tr>
      <w:tr>
        <w:trPr>
          <w:trHeight w:val="246"/>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98"/>
              </w:rPr>
              <w:t>(173.4)</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taxes" shown in the Consolidated Statements of Operations is comprised of the following components: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r>
      <w:tr>
        <w:trPr>
          <w:trHeight w:val="194"/>
        </w:trPr>
        <w:tc>
          <w:tcPr>
            <w:tcW w:w="2360" w:type="dxa"/>
            <w:vAlign w:val="bottom"/>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900" w:type="dxa"/>
            <w:vAlign w:val="bottom"/>
          </w:tcPr>
          <w:p>
            <w:pPr>
              <w:spacing w:after="0"/>
              <w:rPr>
                <w:sz w:val="16"/>
                <w:szCs w:val="16"/>
                <w:color w:val="auto"/>
              </w:rPr>
            </w:pPr>
          </w:p>
        </w:tc>
      </w:tr>
      <w:tr>
        <w:trPr>
          <w:trHeight w:val="209"/>
        </w:trPr>
        <w:tc>
          <w:tcPr>
            <w:tcW w:w="2360" w:type="dxa"/>
            <w:vAlign w:val="bottom"/>
          </w:tcPr>
          <w:p>
            <w:pPr>
              <w:spacing w:after="0"/>
              <w:rPr>
                <w:sz w:val="18"/>
                <w:szCs w:val="18"/>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Federal</w:t>
            </w:r>
          </w:p>
        </w:tc>
        <w:tc>
          <w:tcPr>
            <w:tcW w:w="92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w:t>
            </w:r>
          </w:p>
        </w:tc>
        <w:tc>
          <w:tcPr>
            <w:tcW w:w="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900" w:type="dxa"/>
            <w:vAlign w:val="bottom"/>
          </w:tcPr>
          <w:p>
            <w:pPr>
              <w:spacing w:after="0"/>
              <w:rPr>
                <w:sz w:val="19"/>
                <w:szCs w:val="19"/>
                <w:color w:val="auto"/>
              </w:rPr>
            </w:pPr>
          </w:p>
        </w:tc>
      </w:tr>
      <w:tr>
        <w:trPr>
          <w:trHeight w:val="221"/>
        </w:trPr>
        <w:tc>
          <w:tcPr>
            <w:tcW w:w="2360" w:type="dxa"/>
            <w:vAlign w:val="bottom"/>
          </w:tcPr>
          <w:p>
            <w:pPr>
              <w:spacing w:after="0"/>
              <w:rPr>
                <w:sz w:val="19"/>
                <w:szCs w:val="19"/>
                <w:color w:val="auto"/>
              </w:rPr>
            </w:pPr>
          </w:p>
        </w:tc>
        <w:tc>
          <w:tcPr>
            <w:tcW w:w="2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w:t>
            </w: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900" w:type="dxa"/>
            <w:vAlign w:val="bottom"/>
          </w:tcPr>
          <w:p>
            <w:pPr>
              <w:spacing w:after="0"/>
              <w:rPr>
                <w:sz w:val="19"/>
                <w:szCs w:val="19"/>
                <w:color w:val="auto"/>
              </w:rPr>
            </w:pPr>
          </w:p>
        </w:tc>
      </w:tr>
      <w:tr>
        <w:trPr>
          <w:trHeight w:val="208"/>
        </w:trPr>
        <w:tc>
          <w:tcPr>
            <w:tcW w:w="23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Deferred</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8"/>
        </w:trPr>
        <w:tc>
          <w:tcPr>
            <w:tcW w:w="2360" w:type="dxa"/>
            <w:vAlign w:val="bottom"/>
          </w:tcPr>
          <w:p>
            <w:pPr>
              <w:spacing w:after="0"/>
              <w:rPr>
                <w:sz w:val="19"/>
                <w:szCs w:val="19"/>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900" w:type="dxa"/>
            <w:vAlign w:val="bottom"/>
          </w:tcPr>
          <w:p>
            <w:pPr>
              <w:spacing w:after="0"/>
              <w:rPr>
                <w:sz w:val="19"/>
                <w:szCs w:val="19"/>
                <w:color w:val="auto"/>
              </w:rPr>
            </w:pPr>
          </w:p>
        </w:tc>
      </w:tr>
      <w:tr>
        <w:trPr>
          <w:trHeight w:val="228"/>
        </w:trPr>
        <w:tc>
          <w:tcPr>
            <w:tcW w:w="2360" w:type="dxa"/>
            <w:vAlign w:val="bottom"/>
          </w:tcPr>
          <w:p>
            <w:pPr>
              <w:spacing w:after="0"/>
              <w:rPr>
                <w:sz w:val="19"/>
                <w:szCs w:val="19"/>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900" w:type="dxa"/>
            <w:vAlign w:val="bottom"/>
          </w:tcPr>
          <w:p>
            <w:pPr>
              <w:spacing w:after="0"/>
              <w:rPr>
                <w:sz w:val="19"/>
                <w:szCs w:val="19"/>
                <w:color w:val="auto"/>
              </w:rPr>
            </w:pPr>
          </w:p>
        </w:tc>
      </w:tr>
      <w:tr>
        <w:trPr>
          <w:trHeight w:val="221"/>
        </w:trPr>
        <w:tc>
          <w:tcPr>
            <w:tcW w:w="2360" w:type="dxa"/>
            <w:vAlign w:val="bottom"/>
          </w:tcPr>
          <w:p>
            <w:pPr>
              <w:spacing w:after="0"/>
              <w:rPr>
                <w:sz w:val="19"/>
                <w:szCs w:val="19"/>
                <w:color w:val="auto"/>
              </w:rPr>
            </w:pPr>
          </w:p>
        </w:tc>
        <w:tc>
          <w:tcPr>
            <w:tcW w:w="26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w:t>
            </w:r>
          </w:p>
        </w:tc>
        <w:tc>
          <w:tcPr>
            <w:tcW w:w="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900" w:type="dxa"/>
            <w:vAlign w:val="bottom"/>
          </w:tcPr>
          <w:p>
            <w:pPr>
              <w:spacing w:after="0"/>
              <w:rPr>
                <w:sz w:val="19"/>
                <w:szCs w:val="19"/>
                <w:color w:val="auto"/>
              </w:rPr>
            </w:pPr>
          </w:p>
        </w:tc>
      </w:tr>
      <w:tr>
        <w:trPr>
          <w:trHeight w:val="246"/>
        </w:trPr>
        <w:tc>
          <w:tcPr>
            <w:tcW w:w="236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900" w:type="dxa"/>
            <w:vAlign w:val="bottom"/>
          </w:tcPr>
          <w:p>
            <w:pPr>
              <w:spacing w:after="0"/>
              <w:rPr>
                <w:sz w:val="20"/>
                <w:szCs w:val="20"/>
                <w:color w:val="auto"/>
              </w:rPr>
            </w:pPr>
          </w:p>
        </w:tc>
      </w:tr>
      <w:tr>
        <w:trPr>
          <w:trHeight w:val="20"/>
        </w:trPr>
        <w:tc>
          <w:tcPr>
            <w:tcW w:w="236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794"/>
        </w:trPr>
        <w:tc>
          <w:tcPr>
            <w:tcW w:w="2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20" w:type="dxa"/>
            <w:vAlign w:val="bottom"/>
            <w:gridSpan w:val="2"/>
          </w:tcPr>
          <w:p>
            <w:pPr>
              <w:jc w:val="right"/>
              <w:ind w:right="51"/>
              <w:spacing w:after="0"/>
              <w:rPr>
                <w:sz w:val="20"/>
                <w:szCs w:val="20"/>
                <w:color w:val="auto"/>
              </w:rPr>
            </w:pPr>
            <w:r>
              <w:rPr>
                <w:rFonts w:ascii="Arial" w:cs="Arial" w:eastAsia="Arial" w:hAnsi="Arial"/>
                <w:sz w:val="18"/>
                <w:szCs w:val="18"/>
                <w:color w:val="auto"/>
              </w:rPr>
              <w:t>114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2"/>
        </w:trPr>
        <w:tc>
          <w:tcPr>
            <w:tcW w:w="236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2"/>
        <w:spacing w:after="0" w:line="282" w:lineRule="auto"/>
        <w:rPr>
          <w:sz w:val="20"/>
          <w:szCs w:val="20"/>
          <w:color w:val="auto"/>
        </w:rPr>
      </w:pPr>
      <w:r>
        <w:rPr>
          <w:rFonts w:ascii="Arial" w:cs="Arial" w:eastAsia="Arial" w:hAnsi="Arial"/>
          <w:sz w:val="18"/>
          <w:szCs w:val="18"/>
          <w:color w:val="auto"/>
        </w:rPr>
        <w:t>A reconciliation of the provision for "Income taxes" in amounts and as percentages of "Earnings (loss) before income taxes" differs from the statutory federal income tax rate after the adoption of ASU 2023-09 as follows:</w:t>
      </w:r>
    </w:p>
    <w:p>
      <w:pPr>
        <w:spacing w:after="0" w:line="86" w:lineRule="exact"/>
        <w:rPr>
          <w:sz w:val="20"/>
          <w:szCs w:val="20"/>
          <w:color w:val="auto"/>
        </w:rPr>
      </w:pPr>
    </w:p>
    <w:tbl>
      <w:tblPr>
        <w:tblLayout w:type="fixed"/>
        <w:tblInd w:w="90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Year Ended December 31,</w:t>
            </w:r>
          </w:p>
        </w:tc>
      </w:tr>
      <w:tr>
        <w:trPr>
          <w:trHeight w:val="194"/>
        </w:trPr>
        <w:tc>
          <w:tcPr>
            <w:tcW w:w="4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7"/>
              <w:spacing w:after="0"/>
              <w:rPr>
                <w:sz w:val="20"/>
                <w:szCs w:val="20"/>
                <w:color w:val="auto"/>
              </w:rPr>
            </w:pPr>
            <w:r>
              <w:rPr>
                <w:rFonts w:ascii="Arial" w:cs="Arial" w:eastAsia="Arial" w:hAnsi="Arial"/>
                <w:sz w:val="14"/>
                <w:szCs w:val="14"/>
                <w:b w:val="1"/>
                <w:bCs w:val="1"/>
                <w:color w:val="auto"/>
                <w:w w:val="96"/>
              </w:rPr>
              <w:t>2025</w:t>
            </w:r>
          </w:p>
        </w:tc>
      </w:tr>
      <w:tr>
        <w:trPr>
          <w:trHeight w:val="191"/>
        </w:trPr>
        <w:tc>
          <w:tcPr>
            <w:tcW w:w="40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Percent</w:t>
            </w:r>
          </w:p>
        </w:tc>
      </w:tr>
      <w:tr>
        <w:trPr>
          <w:trHeight w:val="225"/>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statutory federal income tax rate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r>
      <w:tr>
        <w:trPr>
          <w:trHeight w:val="228"/>
        </w:trPr>
        <w:tc>
          <w:tcPr>
            <w:tcW w:w="726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State and local income taxes, net of federal income tax effect </w:t>
            </w:r>
            <w:r>
              <w:rPr>
                <w:rFonts w:ascii="Arial" w:cs="Arial" w:eastAsia="Arial" w:hAnsi="Arial"/>
                <w:sz w:val="23"/>
                <w:szCs w:val="23"/>
                <w:b w:val="1"/>
                <w:bCs w:val="1"/>
                <w:color w:val="auto"/>
                <w:vertAlign w:val="superscript"/>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60" w:type="dxa"/>
            <w:vAlign w:val="bottom"/>
            <w:gridSpan w:val="3"/>
          </w:tcPr>
          <w:p>
            <w:pPr>
              <w:jc w:val="right"/>
              <w:ind w:right="157"/>
              <w:spacing w:after="0"/>
              <w:rPr>
                <w:sz w:val="20"/>
                <w:szCs w:val="20"/>
                <w:color w:val="auto"/>
              </w:rPr>
            </w:pPr>
            <w:r>
              <w:rPr>
                <w:rFonts w:ascii="Arial" w:cs="Arial" w:eastAsia="Arial" w:hAnsi="Arial"/>
                <w:sz w:val="18"/>
                <w:szCs w:val="18"/>
                <w:b w:val="1"/>
                <w:bCs w:val="1"/>
                <w:color w:val="auto"/>
              </w:rPr>
              <w:t>.8</w:t>
            </w:r>
          </w:p>
        </w:tc>
      </w:tr>
      <w:tr>
        <w:trPr>
          <w:trHeight w:val="228"/>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8"/>
        </w:trPr>
        <w:tc>
          <w:tcPr>
            <w:tcW w:w="7260" w:type="dxa"/>
            <w:vAlign w:val="bottom"/>
            <w:gridSpan w:val="3"/>
          </w:tcPr>
          <w:p>
            <w:pPr>
              <w:ind w:left="240"/>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7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Withholding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460" w:type="dxa"/>
            <w:vAlign w:val="bottom"/>
            <w:gridSpan w:val="3"/>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4.4</w:t>
            </w:r>
          </w:p>
        </w:tc>
      </w:tr>
      <w:tr>
        <w:trPr>
          <w:trHeight w:val="228"/>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Local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460" w:type="dxa"/>
            <w:vAlign w:val="bottom"/>
            <w:gridSpan w:val="3"/>
          </w:tcPr>
          <w:p>
            <w:pPr>
              <w:jc w:val="right"/>
              <w:ind w:right="157"/>
              <w:spacing w:after="0"/>
              <w:rPr>
                <w:sz w:val="20"/>
                <w:szCs w:val="20"/>
                <w:color w:val="auto"/>
              </w:rPr>
            </w:pPr>
            <w:r>
              <w:rPr>
                <w:rFonts w:ascii="Arial" w:cs="Arial" w:eastAsia="Arial" w:hAnsi="Arial"/>
                <w:sz w:val="18"/>
                <w:szCs w:val="18"/>
                <w:b w:val="1"/>
                <w:bCs w:val="1"/>
                <w:color w:val="auto"/>
              </w:rPr>
              <w:t>1.1</w:t>
            </w:r>
          </w:p>
        </w:tc>
      </w:tr>
      <w:tr>
        <w:trPr>
          <w:trHeight w:val="228"/>
        </w:trPr>
        <w:tc>
          <w:tcPr>
            <w:tcW w:w="7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6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(.8)</w:t>
            </w:r>
          </w:p>
        </w:tc>
      </w:tr>
      <w:tr>
        <w:trPr>
          <w:trHeight w:val="228"/>
        </w:trPr>
        <w:tc>
          <w:tcPr>
            <w:tcW w:w="7260" w:type="dxa"/>
            <w:vAlign w:val="bottom"/>
            <w:gridSpan w:val="3"/>
          </w:tcPr>
          <w:p>
            <w:pPr>
              <w:ind w:left="24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7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Statutory tax rate difference between China and United States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46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(1.1)</w:t>
            </w:r>
          </w:p>
        </w:tc>
      </w:tr>
      <w:tr>
        <w:trPr>
          <w:trHeight w:val="228"/>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Withholding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460" w:type="dxa"/>
            <w:vAlign w:val="bottom"/>
            <w:gridSpan w:val="3"/>
          </w:tcPr>
          <w:p>
            <w:pPr>
              <w:jc w:val="right"/>
              <w:ind w:right="157"/>
              <w:spacing w:after="0"/>
              <w:rPr>
                <w:sz w:val="20"/>
                <w:szCs w:val="20"/>
                <w:color w:val="auto"/>
              </w:rPr>
            </w:pPr>
            <w:r>
              <w:rPr>
                <w:rFonts w:ascii="Arial" w:cs="Arial" w:eastAsia="Arial" w:hAnsi="Arial"/>
                <w:sz w:val="18"/>
                <w:szCs w:val="18"/>
                <w:b w:val="1"/>
                <w:bCs w:val="1"/>
                <w:color w:val="auto"/>
              </w:rPr>
              <w:t>2.1</w:t>
            </w:r>
          </w:p>
        </w:tc>
      </w:tr>
      <w:tr>
        <w:trPr>
          <w:trHeight w:val="228"/>
        </w:trPr>
        <w:tc>
          <w:tcPr>
            <w:tcW w:w="7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Nontaxable or nondeductible items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46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(1.1)</w:t>
            </w:r>
          </w:p>
        </w:tc>
      </w:tr>
      <w:tr>
        <w:trPr>
          <w:trHeight w:val="228"/>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60" w:type="dxa"/>
            <w:vAlign w:val="bottom"/>
            <w:gridSpan w:val="3"/>
          </w:tcPr>
          <w:p>
            <w:pPr>
              <w:jc w:val="right"/>
              <w:ind w:right="157"/>
              <w:spacing w:after="0"/>
              <w:rPr>
                <w:sz w:val="20"/>
                <w:szCs w:val="20"/>
                <w:color w:val="auto"/>
              </w:rPr>
            </w:pPr>
            <w:r>
              <w:rPr>
                <w:rFonts w:ascii="Arial" w:cs="Arial" w:eastAsia="Arial" w:hAnsi="Arial"/>
                <w:sz w:val="18"/>
                <w:szCs w:val="18"/>
                <w:b w:val="1"/>
                <w:bCs w:val="1"/>
                <w:color w:val="auto"/>
              </w:rPr>
              <w:t>.3</w:t>
            </w:r>
          </w:p>
        </w:tc>
      </w:tr>
      <w:tr>
        <w:trPr>
          <w:trHeight w:val="228"/>
        </w:trPr>
        <w:tc>
          <w:tcPr>
            <w:tcW w:w="72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Cyprus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46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(1.2)</w:t>
            </w:r>
          </w:p>
        </w:tc>
      </w:tr>
      <w:tr>
        <w:trPr>
          <w:trHeight w:val="228"/>
        </w:trPr>
        <w:tc>
          <w:tcPr>
            <w:tcW w:w="7260" w:type="dxa"/>
            <w:vAlign w:val="bottom"/>
            <w:gridSpan w:val="3"/>
          </w:tcPr>
          <w:p>
            <w:pPr>
              <w:ind w:left="240"/>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7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Nontaxable gain related to divestiture of Aerospace Products Group</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46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(4.1)</w:t>
            </w:r>
          </w:p>
        </w:tc>
      </w:tr>
      <w:tr>
        <w:trPr>
          <w:trHeight w:val="228"/>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460" w:type="dxa"/>
            <w:vAlign w:val="bottom"/>
            <w:gridSpan w:val="3"/>
          </w:tcPr>
          <w:p>
            <w:pPr>
              <w:jc w:val="right"/>
              <w:ind w:right="157"/>
              <w:spacing w:after="0"/>
              <w:rPr>
                <w:sz w:val="20"/>
                <w:szCs w:val="20"/>
                <w:color w:val="auto"/>
              </w:rPr>
            </w:pPr>
            <w:r>
              <w:rPr>
                <w:rFonts w:ascii="Arial" w:cs="Arial" w:eastAsia="Arial" w:hAnsi="Arial"/>
                <w:sz w:val="18"/>
                <w:szCs w:val="18"/>
                <w:b w:val="1"/>
                <w:bCs w:val="1"/>
                <w:color w:val="auto"/>
              </w:rPr>
              <w:t>.8</w:t>
            </w:r>
          </w:p>
        </w:tc>
      </w:tr>
      <w:tr>
        <w:trPr>
          <w:trHeight w:val="228"/>
        </w:trPr>
        <w:tc>
          <w:tcPr>
            <w:tcW w:w="72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8"/>
        </w:trPr>
        <w:tc>
          <w:tcPr>
            <w:tcW w:w="7260" w:type="dxa"/>
            <w:vAlign w:val="bottom"/>
            <w:gridSpan w:val="3"/>
          </w:tcPr>
          <w:p>
            <w:pPr>
              <w:ind w:left="440"/>
              <w:spacing w:after="0"/>
              <w:rPr>
                <w:sz w:val="20"/>
                <w:szCs w:val="20"/>
                <w:color w:val="auto"/>
              </w:rPr>
            </w:pPr>
            <w:r>
              <w:rPr>
                <w:rFonts w:ascii="Arial" w:cs="Arial" w:eastAsia="Arial" w:hAnsi="Arial"/>
                <w:sz w:val="18"/>
                <w:szCs w:val="18"/>
                <w:color w:val="auto"/>
              </w:rPr>
              <w:t>Nontaxable gain related to divestiture of Aerospace Products Group</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460" w:type="dxa"/>
            <w:vAlign w:val="bottom"/>
            <w:gridSpan w:val="3"/>
          </w:tcPr>
          <w:p>
            <w:pPr>
              <w:jc w:val="right"/>
              <w:ind w:right="117"/>
              <w:spacing w:after="0"/>
              <w:rPr>
                <w:sz w:val="20"/>
                <w:szCs w:val="20"/>
                <w:color w:val="auto"/>
              </w:rPr>
            </w:pPr>
            <w:r>
              <w:rPr>
                <w:rFonts w:ascii="Arial" w:cs="Arial" w:eastAsia="Arial" w:hAnsi="Arial"/>
                <w:sz w:val="18"/>
                <w:szCs w:val="18"/>
                <w:b w:val="1"/>
                <w:bCs w:val="1"/>
                <w:color w:val="auto"/>
              </w:rPr>
              <w:t>(5.3)</w:t>
            </w:r>
          </w:p>
        </w:tc>
      </w:tr>
      <w:tr>
        <w:trPr>
          <w:trHeight w:val="228"/>
        </w:trPr>
        <w:tc>
          <w:tcPr>
            <w:tcW w:w="7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60" w:type="dxa"/>
            <w:vAlign w:val="bottom"/>
            <w:gridSpan w:val="3"/>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.8</w:t>
            </w:r>
          </w:p>
        </w:tc>
      </w:tr>
      <w:tr>
        <w:trPr>
          <w:trHeight w:val="228"/>
        </w:trPr>
        <w:tc>
          <w:tcPr>
            <w:tcW w:w="7260" w:type="dxa"/>
            <w:vAlign w:val="bottom"/>
            <w:gridSpan w:val="3"/>
          </w:tcPr>
          <w:p>
            <w:pPr>
              <w:ind w:left="240"/>
              <w:spacing w:after="0"/>
              <w:rPr>
                <w:sz w:val="20"/>
                <w:szCs w:val="20"/>
                <w:color w:val="auto"/>
              </w:rPr>
            </w:pPr>
            <w:r>
              <w:rPr>
                <w:rFonts w:ascii="Arial" w:cs="Arial" w:eastAsia="Arial" w:hAnsi="Arial"/>
                <w:sz w:val="18"/>
                <w:szCs w:val="18"/>
                <w:color w:val="auto"/>
              </w:rPr>
              <w:t>Other foreign jurisdictions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60" w:type="dxa"/>
            <w:vAlign w:val="bottom"/>
            <w:gridSpan w:val="3"/>
          </w:tcPr>
          <w:p>
            <w:pPr>
              <w:jc w:val="right"/>
              <w:ind w:right="157"/>
              <w:spacing w:after="0"/>
              <w:rPr>
                <w:sz w:val="20"/>
                <w:szCs w:val="20"/>
                <w:color w:val="auto"/>
              </w:rPr>
            </w:pPr>
            <w:r>
              <w:rPr>
                <w:rFonts w:ascii="Arial" w:cs="Arial" w:eastAsia="Arial" w:hAnsi="Arial"/>
                <w:sz w:val="18"/>
                <w:szCs w:val="18"/>
                <w:b w:val="1"/>
                <w:bCs w:val="1"/>
                <w:color w:val="auto"/>
              </w:rPr>
              <w:t>.6</w:t>
            </w:r>
          </w:p>
        </w:tc>
      </w:tr>
      <w:tr>
        <w:trPr>
          <w:trHeight w:val="228"/>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Effect of changes in tax laws or rates enacted in current period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60" w:type="dxa"/>
            <w:vAlign w:val="bottom"/>
            <w:gridSpan w:val="3"/>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.6</w:t>
            </w:r>
          </w:p>
        </w:tc>
      </w:tr>
      <w:tr>
        <w:trPr>
          <w:trHeight w:val="228"/>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Effect of cross-border tax laws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72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Global intangible low-taxed income (GILTI),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460" w:type="dxa"/>
            <w:vAlign w:val="bottom"/>
            <w:gridSpan w:val="3"/>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1.4</w:t>
            </w:r>
          </w:p>
        </w:tc>
      </w:tr>
      <w:tr>
        <w:trPr>
          <w:trHeight w:val="228"/>
        </w:trPr>
        <w:tc>
          <w:tcPr>
            <w:tcW w:w="7260" w:type="dxa"/>
            <w:vAlign w:val="bottom"/>
            <w:gridSpan w:val="3"/>
          </w:tcPr>
          <w:p>
            <w:pPr>
              <w:ind w:left="2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460" w:type="dxa"/>
            <w:vAlign w:val="bottom"/>
            <w:gridSpan w:val="3"/>
          </w:tcPr>
          <w:p>
            <w:pPr>
              <w:jc w:val="right"/>
              <w:ind w:right="117"/>
              <w:spacing w:after="0"/>
              <w:rPr>
                <w:sz w:val="20"/>
                <w:szCs w:val="20"/>
                <w:color w:val="auto"/>
              </w:rPr>
            </w:pPr>
            <w:r>
              <w:rPr>
                <w:rFonts w:ascii="Arial" w:cs="Arial" w:eastAsia="Arial" w:hAnsi="Arial"/>
                <w:sz w:val="18"/>
                <w:szCs w:val="18"/>
                <w:b w:val="1"/>
                <w:bCs w:val="1"/>
                <w:color w:val="auto"/>
              </w:rPr>
              <w:t>(.1)</w:t>
            </w:r>
          </w:p>
        </w:tc>
      </w:tr>
      <w:tr>
        <w:trPr>
          <w:trHeight w:val="228"/>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6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(.6)</w:t>
            </w:r>
          </w:p>
        </w:tc>
      </w:tr>
      <w:tr>
        <w:trPr>
          <w:trHeight w:val="228"/>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Changes in unrecognized tax benefits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3"/>
          </w:tcPr>
          <w:p>
            <w:pPr>
              <w:jc w:val="right"/>
              <w:ind w:right="117"/>
              <w:spacing w:after="0"/>
              <w:rPr>
                <w:sz w:val="20"/>
                <w:szCs w:val="20"/>
                <w:color w:val="auto"/>
              </w:rPr>
            </w:pPr>
            <w:r>
              <w:rPr>
                <w:rFonts w:ascii="Arial" w:cs="Arial" w:eastAsia="Arial" w:hAnsi="Arial"/>
                <w:sz w:val="18"/>
                <w:szCs w:val="18"/>
                <w:b w:val="1"/>
                <w:bCs w:val="1"/>
                <w:color w:val="auto"/>
              </w:rPr>
              <w:t>(.1)</w:t>
            </w:r>
          </w:p>
        </w:tc>
      </w:tr>
      <w:tr>
        <w:trPr>
          <w:trHeight w:val="228"/>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460" w:type="dxa"/>
            <w:vAlign w:val="bottom"/>
            <w:gridSpan w:val="3"/>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1.6</w:t>
            </w:r>
          </w:p>
        </w:tc>
      </w:tr>
      <w:tr>
        <w:trPr>
          <w:trHeight w:val="228"/>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Other adjustments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8"/>
        </w:trPr>
        <w:tc>
          <w:tcPr>
            <w:tcW w:w="7260" w:type="dxa"/>
            <w:vAlign w:val="bottom"/>
            <w:gridSpan w:val="3"/>
            <w:shd w:val="clear" w:color="auto" w:fill="CCEEFF"/>
          </w:tcPr>
          <w:p>
            <w:pPr>
              <w:ind w:left="240"/>
              <w:spacing w:after="0" w:line="188" w:lineRule="exact"/>
              <w:rPr>
                <w:sz w:val="20"/>
                <w:szCs w:val="20"/>
                <w:color w:val="auto"/>
              </w:rPr>
            </w:pPr>
            <w:r>
              <w:rPr>
                <w:rFonts w:ascii="Arial" w:cs="Arial" w:eastAsia="Arial" w:hAnsi="Arial"/>
                <w:sz w:val="18"/>
                <w:szCs w:val="18"/>
                <w:color w:val="auto"/>
              </w:rPr>
              <w:t xml:space="preserve">Release of stranded tax effects from AOCI (See </w:t>
            </w:r>
            <w:r>
              <w:rPr>
                <w:rFonts w:ascii="Arial" w:cs="Arial" w:eastAsia="Arial" w:hAnsi="Arial"/>
                <w:sz w:val="18"/>
                <w:szCs w:val="18"/>
                <w:color w:val="0000FF"/>
              </w:rPr>
              <w:t>Note M</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(5.8)</w:t>
            </w:r>
          </w:p>
        </w:tc>
        <w:tc>
          <w:tcPr>
            <w:tcW w:w="1460" w:type="dxa"/>
            <w:vAlign w:val="bottom"/>
            <w:gridSpan w:val="3"/>
            <w:shd w:val="clear" w:color="auto" w:fill="CCEEFF"/>
          </w:tcPr>
          <w:p>
            <w:pPr>
              <w:jc w:val="right"/>
              <w:ind w:right="117"/>
              <w:spacing w:after="0" w:line="188" w:lineRule="exact"/>
              <w:rPr>
                <w:sz w:val="20"/>
                <w:szCs w:val="20"/>
                <w:color w:val="auto"/>
              </w:rPr>
            </w:pPr>
            <w:r>
              <w:rPr>
                <w:rFonts w:ascii="Arial" w:cs="Arial" w:eastAsia="Arial" w:hAnsi="Arial"/>
                <w:sz w:val="18"/>
                <w:szCs w:val="18"/>
                <w:b w:val="1"/>
                <w:bCs w:val="1"/>
                <w:color w:val="auto"/>
              </w:rPr>
              <w:t>(2.0)</w:t>
            </w:r>
          </w:p>
        </w:tc>
      </w:tr>
      <w:tr>
        <w:trPr>
          <w:trHeight w:val="228"/>
        </w:trPr>
        <w:tc>
          <w:tcPr>
            <w:tcW w:w="406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tcBorders>
              <w:top w:val="single" w:sz="8" w:color="0000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(1.2)</w:t>
            </w:r>
          </w:p>
        </w:tc>
        <w:tc>
          <w:tcPr>
            <w:tcW w:w="1460" w:type="dxa"/>
            <w:vAlign w:val="bottom"/>
            <w:tcBorders>
              <w:top w:val="single" w:sz="8" w:color="CCEEFF"/>
            </w:tcBorders>
            <w:gridSpan w:val="3"/>
          </w:tcPr>
          <w:p>
            <w:pPr>
              <w:jc w:val="right"/>
              <w:ind w:right="117"/>
              <w:spacing w:after="0"/>
              <w:rPr>
                <w:sz w:val="20"/>
                <w:szCs w:val="20"/>
                <w:color w:val="auto"/>
              </w:rPr>
            </w:pPr>
            <w:r>
              <w:rPr>
                <w:rFonts w:ascii="Arial" w:cs="Arial" w:eastAsia="Arial" w:hAnsi="Arial"/>
                <w:sz w:val="18"/>
                <w:szCs w:val="18"/>
                <w:b w:val="1"/>
                <w:bCs w:val="1"/>
                <w:color w:val="auto"/>
              </w:rPr>
              <w:t>(.4)</w:t>
            </w:r>
          </w:p>
        </w:tc>
      </w:tr>
      <w:tr>
        <w:trPr>
          <w:trHeight w:val="246"/>
        </w:trPr>
        <w:tc>
          <w:tcPr>
            <w:tcW w:w="72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400" w:right="860" w:firstLine="492"/>
        <w:spacing w:after="0" w:line="257" w:lineRule="auto"/>
        <w:tabs>
          <w:tab w:leader="none" w:pos="999" w:val="left"/>
        </w:tabs>
        <w:numPr>
          <w:ilvl w:val="0"/>
          <w:numId w:val="86"/>
        </w:numPr>
        <w:rPr>
          <w:rFonts w:ascii="Arial" w:cs="Arial" w:eastAsia="Arial" w:hAnsi="Arial"/>
          <w:sz w:val="28"/>
          <w:szCs w:val="28"/>
          <w:b w:val="1"/>
          <w:bCs w:val="1"/>
          <w:color w:val="auto"/>
          <w:vertAlign w:val="superscript"/>
        </w:rPr>
      </w:pPr>
      <w:r>
        <w:rPr>
          <w:rFonts w:ascii="Arial" w:cs="Arial" w:eastAsia="Arial" w:hAnsi="Arial"/>
          <w:sz w:val="18"/>
          <w:szCs w:val="18"/>
          <w:color w:val="auto"/>
        </w:rPr>
        <w:t>State taxes in California, Illinois, and Texas made up the majority (greater than 50%) of the tax effect in this category. Explanations of significant impacts to our 2025 effective tax rate presented are discussed below.</w:t>
      </w: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20" w:hanging="331"/>
        <w:spacing w:after="0" w:line="254"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Our worldwide effective tax rate was favorably impacted by $13.0 due to beneficial tax impacts from the Aerospace Products Group divestiture discussed in </w:t>
      </w:r>
      <w:r>
        <w:rPr>
          <w:rFonts w:ascii="Arial" w:cs="Arial" w:eastAsia="Arial" w:hAnsi="Arial"/>
          <w:sz w:val="18"/>
          <w:szCs w:val="18"/>
          <w:u w:val="single" w:color="auto"/>
          <w:color w:val="0000FF"/>
        </w:rPr>
        <w:t>Note S</w:t>
      </w:r>
      <w:r>
        <w:rPr>
          <w:rFonts w:ascii="Arial" w:cs="Arial" w:eastAsia="Arial" w:hAnsi="Arial"/>
          <w:sz w:val="18"/>
          <w:szCs w:val="18"/>
          <w:color w:val="auto"/>
          <w:highlight w:val="white"/>
        </w:rPr>
        <w:t>. As reflected in line items within the "Foreign tax effects" category of the rate reconciliation table, both</w:t>
      </w:r>
      <w:r>
        <w:rPr>
          <w:rFonts w:ascii="Arial" w:cs="Arial" w:eastAsia="Arial" w:hAnsi="Arial"/>
          <w:sz w:val="18"/>
          <w:szCs w:val="18"/>
          <w:color w:val="auto"/>
        </w:rPr>
        <w:t xml:space="preserve"> France and the United Kingdom provide substantial shareholding exemptions from corporation tax resulting in a total $27.0 favorable impact. In addition, the "State and local income taxes, net of federal income tax effect" category includes a $.4 favorable impact. Offsetting tax consequences of the Aerospace transaction include the following: within the "Foreign tax effects" category, the Canadian withholding taxes line item includes $8.3, while both France and the United Kingdom include "Other" impacts of $2.0 and $2.1, respectively; and the "Effect of cross-border tax laws" includes a $2.0 estimated tax impact in the 'net' GILTI line.</w:t>
      </w:r>
    </w:p>
    <w:p>
      <w:pPr>
        <w:spacing w:after="0" w:line="61" w:lineRule="exact"/>
        <w:rPr>
          <w:rFonts w:ascii="Arial" w:cs="Arial" w:eastAsia="Arial" w:hAnsi="Arial"/>
          <w:sz w:val="18"/>
          <w:szCs w:val="18"/>
          <w:color w:val="auto"/>
        </w:rPr>
      </w:pPr>
    </w:p>
    <w:p>
      <w:pPr>
        <w:ind w:left="660" w:hanging="331"/>
        <w:spacing w:after="0" w:line="254"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July 4, 2025, President Trump signed Public Law 119-21 (also known as the “One Big Beautiful Bill”), which includes changes to the U.S. corporate income tax system, such as modifications to the limitation on interest deductibility, the reinstatement of 100% bonus depreciation, and the allowable immediate expensing of qualifying research and experimentation expenses. Specifically, we recorded $1.6 tax expense in the “Effect of changes in tax laws or rates enacted in current period” category related to unintended consequences of the bill to our ‘net’ effect of cross-border tax laws. In addition, $.7 tax expense is included within the “State and local income taxes, net of federal income tax effect” category related to the consequential impacts to changes in valuation allowances of our state deferred tax assets.</w:t>
      </w:r>
    </w:p>
    <w:p>
      <w:pPr>
        <w:spacing w:after="0" w:line="48" w:lineRule="exact"/>
        <w:rPr>
          <w:rFonts w:ascii="Arial" w:cs="Arial" w:eastAsia="Arial" w:hAnsi="Arial"/>
          <w:sz w:val="18"/>
          <w:szCs w:val="18"/>
          <w:color w:val="auto"/>
        </w:rPr>
      </w:pPr>
    </w:p>
    <w:p>
      <w:pPr>
        <w:ind w:left="660" w:right="80" w:hanging="331"/>
        <w:spacing w:after="0" w:line="254"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Our rate was favorably impacted by $5.8 related to the release of stranded tax effects from “Accumulated other comprehensive loss” (AOCI) shown on our Consolidated Balance Sheets due to the non-cash settlement charges associated with the termination and liquidation of one of our domestic defined benefit pension plans discussed in </w:t>
      </w:r>
      <w:r>
        <w:rPr>
          <w:rFonts w:ascii="Arial" w:cs="Arial" w:eastAsia="Arial" w:hAnsi="Arial"/>
          <w:sz w:val="18"/>
          <w:szCs w:val="18"/>
          <w:u w:val="single" w:color="auto"/>
          <w:color w:val="0000FF"/>
        </w:rPr>
        <w:t>Note M</w:t>
      </w:r>
      <w:r>
        <w:rPr>
          <w:rFonts w:ascii="Arial" w:cs="Arial" w:eastAsia="Arial" w:hAnsi="Arial"/>
          <w:sz w:val="18"/>
          <w:szCs w:val="18"/>
          <w:color w:val="auto"/>
          <w:highlight w:val="white"/>
        </w:rPr>
        <w:t>. Prior to the plan termination, AOCI included</w:t>
      </w:r>
      <w:r>
        <w:rPr>
          <w:rFonts w:ascii="Arial" w:cs="Arial" w:eastAsia="Arial" w:hAnsi="Arial"/>
          <w:sz w:val="18"/>
          <w:szCs w:val="18"/>
          <w:color w:val="auto"/>
        </w:rPr>
        <w:t xml:space="preserve"> stranded tax effects primarily due to the adoption of the Tax Cuts and Jobs Act in 2017. We elected not to reclassify these stranded tax effects under ASU 2018-02 – Income Statement – Reporting Comprehensive Income (Topic 220): Reclassification of Certain Tax Effects from Accumulated Other Comprehensive Income.” Upon plan termination, these stranded tax effects were required to be released into income tax expense under GAAP.</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years ended December 31, 2024 a</w:t>
      </w:r>
      <w:r>
        <w:rPr>
          <w:rFonts w:ascii="Times New Roman" w:cs="Times New Roman" w:eastAsia="Times New Roman" w:hAnsi="Times New Roman"/>
          <w:sz w:val="18"/>
          <w:szCs w:val="18"/>
          <w:color w:val="auto"/>
        </w:rPr>
        <w:t>nd</w:t>
      </w:r>
      <w:r>
        <w:rPr>
          <w:rFonts w:ascii="Arial" w:cs="Arial" w:eastAsia="Arial" w:hAnsi="Arial"/>
          <w:sz w:val="18"/>
          <w:szCs w:val="18"/>
          <w:color w:val="auto"/>
        </w:rPr>
        <w:t xml:space="preserve"> 2023, a reconciliation of the provision for "Income taxes" as a percentage of "Earnings (loss)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before income taxes" differs from the statutory federal income tax rate before the adoption of ASU 2023-09 as follows:</w:t>
      </w:r>
    </w:p>
    <w:p>
      <w:pPr>
        <w:spacing w:after="0" w:line="39" w:lineRule="exact"/>
        <w:rPr>
          <w:sz w:val="20"/>
          <w:szCs w:val="20"/>
          <w:color w:val="auto"/>
        </w:rPr>
      </w:pPr>
    </w:p>
    <w:tbl>
      <w:tblPr>
        <w:tblLayout w:type="fixed"/>
        <w:tblInd w:w="174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8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94"/>
        </w:trPr>
        <w:tc>
          <w:tcPr>
            <w:tcW w:w="54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r>
      <w:tr>
        <w:trPr>
          <w:trHeight w:val="22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Increases (decreases) in rate resulting from:</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Tax effect of foreign operations</w:t>
            </w:r>
          </w:p>
        </w:tc>
        <w:tc>
          <w:tcPr>
            <w:tcW w:w="1380" w:type="dxa"/>
            <w:vAlign w:val="bottom"/>
          </w:tcPr>
          <w:p>
            <w:pPr>
              <w:jc w:val="right"/>
              <w:ind w:right="2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intangible low-taxed income</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Current and deferred foreign withholding taxes</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(7.3)</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long-lived asset impairments</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Change in uncertain tax positions, net</w:t>
            </w:r>
          </w:p>
        </w:tc>
        <w:tc>
          <w:tcPr>
            <w:tcW w:w="13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w:t>
            </w:r>
          </w:p>
        </w:tc>
      </w:tr>
      <w:tr>
        <w:trPr>
          <w:trHeight w:val="228"/>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differences, net</w:t>
            </w: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r>
      <w:tr>
        <w:trPr>
          <w:trHeight w:val="228"/>
        </w:trPr>
        <w:tc>
          <w:tcPr>
            <w:tcW w:w="54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1.4</w:t>
            </w:r>
          </w:p>
        </w:tc>
      </w:tr>
      <w:tr>
        <w:trPr>
          <w:trHeight w:val="246"/>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Dollar amounts for significant items for the years presented are discussed below.</w:t>
      </w:r>
    </w:p>
    <w:p>
      <w:pPr>
        <w:spacing w:after="0" w:line="155"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For all periods presented, the tax rate benefited from income earned in various foreign jurisdictions at rates lower than the U.S. federal statutory rate, primarily in China and Cyprus. In 2023, the rate associated with foreign operations was also adversely impacted by changes in estimates related to tax filings and a reduction to a contingent purchase price liability.</w:t>
      </w: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2"/>
        <w:spacing w:after="0" w:line="257" w:lineRule="auto"/>
        <w:rPr>
          <w:sz w:val="20"/>
          <w:szCs w:val="20"/>
          <w:color w:val="auto"/>
        </w:rPr>
      </w:pPr>
      <w:r>
        <w:rPr>
          <w:rFonts w:ascii="Arial" w:cs="Arial" w:eastAsia="Arial" w:hAnsi="Arial"/>
          <w:sz w:val="18"/>
          <w:szCs w:val="18"/>
          <w:color w:val="auto"/>
        </w:rPr>
        <w:t xml:space="preserve">In 2024, our rate was adversely impacted by $99.3 primarily due to non-deductible tax effects from goodwill impairment charges, but benefited by $9.4 in 2023 from deductible tax effects of other long-lived asset impairment charges, both of which are discussed in </w:t>
      </w:r>
      <w:r>
        <w:rPr>
          <w:rFonts w:ascii="Arial" w:cs="Arial" w:eastAsia="Arial" w:hAnsi="Arial"/>
          <w:sz w:val="18"/>
          <w:szCs w:val="18"/>
          <w:u w:val="single" w:color="auto"/>
          <w:color w:val="0000FF"/>
        </w:rPr>
        <w:t>Note F</w:t>
      </w:r>
      <w:r>
        <w:rPr>
          <w:rFonts w:ascii="Arial" w:cs="Arial" w:eastAsia="Arial" w:hAnsi="Arial"/>
          <w:sz w:val="18"/>
          <w:szCs w:val="18"/>
          <w:color w:val="auto"/>
        </w:rPr>
        <w:t>. We also recognized tax expense related to foreign withholding taxes of $9.7 and $12.7, and other net tax (benefits) expenses of $ (.8) and $(5.9) for the years ended December 31, 2024 and 2023, respectively. In 2024, our rate was also adversely impacted by $4.8 due to a change in valuation allowance related to a 2022 acquisition in our Specialized Products segment.</w:t>
      </w:r>
    </w:p>
    <w:p>
      <w:pPr>
        <w:spacing w:after="0" w:line="58" w:lineRule="exact"/>
        <w:rPr>
          <w:sz w:val="20"/>
          <w:szCs w:val="20"/>
          <w:color w:val="auto"/>
        </w:rPr>
      </w:pPr>
    </w:p>
    <w:p>
      <w:pPr>
        <w:ind w:right="120" w:firstLine="402"/>
        <w:spacing w:after="0" w:line="265" w:lineRule="auto"/>
        <w:rPr>
          <w:sz w:val="20"/>
          <w:szCs w:val="20"/>
          <w:color w:val="auto"/>
        </w:rPr>
      </w:pPr>
      <w:r>
        <w:rPr>
          <w:rFonts w:ascii="Arial" w:cs="Arial" w:eastAsia="Arial" w:hAnsi="Arial"/>
          <w:sz w:val="18"/>
          <w:szCs w:val="18"/>
          <w:color w:val="auto"/>
        </w:rPr>
        <w:t>We file tax returns in each jurisdiction where we are required to do so. In these jurisdictions, a statute of limitations period exists. After a statute period expires, the tax authorities can no longer assess additional income tax for the expired period. In addition, once the statute expires we are no longer eligible to file claims for refund for any tax that we may have overpaid.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99" w:lineRule="exact"/>
        <w:rPr>
          <w:sz w:val="20"/>
          <w:szCs w:val="20"/>
          <w:color w:val="auto"/>
        </w:rPr>
      </w:pPr>
    </w:p>
    <w:p>
      <w:pPr>
        <w:ind w:right="360" w:firstLine="402"/>
        <w:spacing w:after="0" w:line="282" w:lineRule="auto"/>
        <w:rPr>
          <w:sz w:val="20"/>
          <w:szCs w:val="20"/>
          <w:color w:val="auto"/>
        </w:rPr>
      </w:pPr>
      <w:r>
        <w:rPr>
          <w:rFonts w:ascii="Arial" w:cs="Arial" w:eastAsia="Arial" w:hAnsi="Arial"/>
          <w:sz w:val="18"/>
          <w:szCs w:val="18"/>
          <w:color w:val="auto"/>
        </w:rPr>
        <w:t>The total amount of our gross unrecognized tax benefits including interest and penalties at December 31, 2025, 2024, and 2023 was $9.0 (of which $1.1 would impact our effective tax rate, if recognized), $8.0, and $5.0, respectively.</w:t>
      </w:r>
    </w:p>
    <w:p>
      <w:pPr>
        <w:spacing w:after="0" w:line="36" w:lineRule="exact"/>
        <w:rPr>
          <w:sz w:val="20"/>
          <w:szCs w:val="20"/>
          <w:color w:val="auto"/>
        </w:rPr>
      </w:pPr>
    </w:p>
    <w:p>
      <w:pPr>
        <w:ind w:right="120" w:firstLine="402"/>
        <w:spacing w:after="0" w:line="282" w:lineRule="auto"/>
        <w:rPr>
          <w:sz w:val="20"/>
          <w:szCs w:val="20"/>
          <w:color w:val="auto"/>
        </w:rPr>
      </w:pPr>
      <w:r>
        <w:rPr>
          <w:rFonts w:ascii="Arial" w:cs="Arial" w:eastAsia="Arial" w:hAnsi="Arial"/>
          <w:sz w:val="18"/>
          <w:szCs w:val="18"/>
          <w:color w:val="auto"/>
        </w:rPr>
        <w:t>We recognize interest and penalties related to unrecognized tax benefits as part of income tax expense in the Consolidated Statements of Operations, which is consistent with prior reporting periods.</w:t>
      </w:r>
    </w:p>
    <w:p>
      <w:pPr>
        <w:spacing w:after="0" w:line="23" w:lineRule="exact"/>
        <w:rPr>
          <w:sz w:val="20"/>
          <w:szCs w:val="20"/>
          <w:color w:val="auto"/>
        </w:rPr>
      </w:pPr>
    </w:p>
    <w:p>
      <w:pPr>
        <w:ind w:firstLine="402"/>
        <w:spacing w:after="0" w:line="259" w:lineRule="auto"/>
        <w:rPr>
          <w:sz w:val="20"/>
          <w:szCs w:val="20"/>
          <w:color w:val="auto"/>
        </w:rPr>
      </w:pPr>
      <w:r>
        <w:rPr>
          <w:rFonts w:ascii="Arial" w:cs="Arial" w:eastAsia="Arial" w:hAnsi="Arial"/>
          <w:sz w:val="18"/>
          <w:szCs w:val="18"/>
          <w:color w:val="auto"/>
        </w:rPr>
        <w:t>We are currently in various stages of audit or review by certain governmental tax authorities including the United States, Canada, and China. We have established liabilities for unrecognized tax benefits as appropriate, with such amounts representing a reasonable provision for taxes we ultimately might be required to pay. However, these liabilities could be adjusted over time as more information becomes known and management continues to evaluate the progress of these examinations.</w:t>
      </w:r>
    </w:p>
    <w:p>
      <w:pPr>
        <w:spacing w:after="0" w:line="58" w:lineRule="exact"/>
        <w:rPr>
          <w:sz w:val="20"/>
          <w:szCs w:val="20"/>
          <w:color w:val="auto"/>
        </w:rPr>
      </w:pPr>
    </w:p>
    <w:p>
      <w:pPr>
        <w:ind w:right="20" w:firstLine="402"/>
        <w:spacing w:after="0" w:line="265" w:lineRule="auto"/>
        <w:rPr>
          <w:sz w:val="20"/>
          <w:szCs w:val="20"/>
          <w:color w:val="auto"/>
        </w:rPr>
      </w:pPr>
      <w:r>
        <w:rPr>
          <w:rFonts w:ascii="Arial" w:cs="Arial" w:eastAsia="Arial" w:hAnsi="Arial"/>
          <w:sz w:val="18"/>
          <w:szCs w:val="18"/>
          <w:color w:val="auto"/>
        </w:rPr>
        <w:t>In January 2026, we were notified by a tax bureau in China of their intent to assess tax for 2021-2024 pertaining to our beneficial owner status with respect to prior dividend payments. Although the outcome is uncertain, we believe we have valid defenses and intend to rigorously contest the assessment initiated by the China authorities and have not recorded any impact associated with this matter.</w:t>
      </w:r>
    </w:p>
    <w:p>
      <w:pPr>
        <w:spacing w:after="0" w:line="52" w:lineRule="exact"/>
        <w:rPr>
          <w:sz w:val="20"/>
          <w:szCs w:val="20"/>
          <w:color w:val="auto"/>
        </w:rPr>
      </w:pPr>
    </w:p>
    <w:p>
      <w:pPr>
        <w:ind w:right="440" w:firstLine="402"/>
        <w:spacing w:after="0" w:line="282" w:lineRule="auto"/>
        <w:rPr>
          <w:sz w:val="20"/>
          <w:szCs w:val="20"/>
          <w:color w:val="auto"/>
        </w:rPr>
      </w:pPr>
      <w:r>
        <w:rPr>
          <w:rFonts w:ascii="Arial" w:cs="Arial" w:eastAsia="Arial" w:hAnsi="Arial"/>
          <w:sz w:val="18"/>
          <w:szCs w:val="18"/>
          <w:color w:val="auto"/>
        </w:rPr>
        <w:t>We are not subject to significant U.S. federal tax examinations for years prior to 2022, or significant U.S. state or foreign income tax examinations for years prior to 2016.</w:t>
      </w:r>
    </w:p>
    <w:p>
      <w:pPr>
        <w:spacing w:after="0" w:line="23" w:lineRule="exact"/>
        <w:rPr>
          <w:sz w:val="20"/>
          <w:szCs w:val="20"/>
          <w:color w:val="auto"/>
        </w:rPr>
      </w:pPr>
    </w:p>
    <w:p>
      <w:pPr>
        <w:ind w:firstLine="402"/>
        <w:spacing w:after="0" w:line="265" w:lineRule="auto"/>
        <w:rPr>
          <w:sz w:val="20"/>
          <w:szCs w:val="20"/>
          <w:color w:val="auto"/>
        </w:rPr>
      </w:pPr>
      <w:r>
        <w:rPr>
          <w:rFonts w:ascii="Arial" w:cs="Arial" w:eastAsia="Arial" w:hAnsi="Arial"/>
          <w:sz w:val="18"/>
          <w:szCs w:val="18"/>
          <w:color w:val="auto"/>
        </w:rPr>
        <w:t>It is reasonably possible that the resolution of certain tax audits could reduce our unrecognized tax benefits within the next 12 months, as certain tax positions may either be sustained on audit or we may agree to certain adjustments, or resulting from the expiration of statutes of limitations in various jurisdictions. The amount of unrecognized tax benefits is not expected to change significantly in the next 12 months.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99" w:lineRule="exact"/>
        <w:rPr>
          <w:sz w:val="20"/>
          <w:szCs w:val="20"/>
          <w:color w:val="auto"/>
        </w:rPr>
      </w:pPr>
    </w:p>
    <w:p>
      <w:pPr>
        <w:ind w:right="240" w:firstLine="402"/>
        <w:spacing w:after="0" w:line="277" w:lineRule="auto"/>
        <w:rPr>
          <w:sz w:val="20"/>
          <w:szCs w:val="20"/>
          <w:color w:val="auto"/>
        </w:rPr>
      </w:pPr>
      <w:r>
        <w:rPr>
          <w:rFonts w:ascii="Arial" w:cs="Arial" w:eastAsia="Arial" w:hAnsi="Arial"/>
          <w:sz w:val="18"/>
          <w:szCs w:val="18"/>
          <w:color w:val="auto"/>
        </w:rPr>
        <w:t>Deferred income taxes are provided for the temporary differences between the financial reporting basis and the tax basis of our assets and liabilities. The major temporary differences and their associated deferred tax assets or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4"/>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r>
      <w:tr>
        <w:trPr>
          <w:trHeight w:val="194"/>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Liabilities</w:t>
            </w:r>
          </w:p>
        </w:tc>
      </w:tr>
      <w:tr>
        <w:trPr>
          <w:trHeight w:val="222"/>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Net operating losses and other tax carryforwards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cost and other post-retirement benefits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Capitalized research and experimentation expenses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undistributed earnings (primarily from Canada and China)</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8"/>
        </w:trPr>
        <w:tc>
          <w:tcPr>
            <w:tcW w:w="646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1"/>
        </w:trPr>
        <w:tc>
          <w:tcPr>
            <w:tcW w:w="6460" w:type="dxa"/>
            <w:vAlign w:val="bottom"/>
          </w:tcPr>
          <w:p>
            <w:pPr>
              <w:ind w:left="340"/>
              <w:spacing w:after="0"/>
              <w:rPr>
                <w:sz w:val="20"/>
                <w:szCs w:val="20"/>
                <w:color w:val="auto"/>
              </w:rPr>
            </w:pPr>
            <w:r>
              <w:rPr>
                <w:rFonts w:ascii="Arial" w:cs="Arial" w:eastAsia="Arial" w:hAnsi="Arial"/>
                <w:sz w:val="18"/>
                <w:szCs w:val="18"/>
                <w:color w:val="auto"/>
              </w:rPr>
              <w:t>Gross deferred tax assets (liabilities)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taxes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r>
      <w:tr>
        <w:trPr>
          <w:trHeight w:val="246"/>
        </w:trPr>
        <w:tc>
          <w:tcPr>
            <w:tcW w:w="6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assets (liabilities) included in the Consolidated Balance Sheets are as follows:</w:t>
      </w:r>
    </w:p>
    <w:p>
      <w:pPr>
        <w:spacing w:after="0" w:line="57"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Borders>
              <w:bottom w:val="single" w:sz="8" w:color="auto"/>
            </w:tcBorders>
          </w:tcPr>
          <w:p>
            <w:pPr>
              <w:spacing w:after="0"/>
              <w:rPr>
                <w:sz w:val="17"/>
                <w:szCs w:val="17"/>
                <w:color w:val="auto"/>
              </w:rPr>
            </w:pPr>
          </w:p>
        </w:tc>
      </w:tr>
      <w:tr>
        <w:trPr>
          <w:trHeight w:val="194"/>
        </w:trPr>
        <w:tc>
          <w:tcPr>
            <w:tcW w:w="39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2024</w:t>
            </w:r>
          </w:p>
        </w:tc>
      </w:tr>
      <w:tr>
        <w:trPr>
          <w:trHeight w:val="22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40" w:type="dxa"/>
            <w:vAlign w:val="bottom"/>
            <w:shd w:val="clear" w:color="auto" w:fill="CCEEFF"/>
          </w:tcPr>
          <w:p>
            <w:pPr>
              <w:jc w:val="right"/>
              <w:ind w:right="1237"/>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96"/>
              </w:rPr>
              <w:t>27.1</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auto"/>
              </w:rPr>
              <w:t>18.3</w:t>
            </w:r>
          </w:p>
        </w:tc>
      </w:tr>
      <w:tr>
        <w:trPr>
          <w:trHeight w:val="228"/>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95"/>
              <w:spacing w:after="0"/>
              <w:rPr>
                <w:sz w:val="20"/>
                <w:szCs w:val="20"/>
                <w:color w:val="auto"/>
              </w:rPr>
            </w:pPr>
            <w:r>
              <w:rPr>
                <w:rFonts w:ascii="Arial" w:cs="Arial" w:eastAsia="Arial" w:hAnsi="Arial"/>
                <w:sz w:val="18"/>
                <w:szCs w:val="18"/>
                <w:b w:val="1"/>
                <w:bCs w:val="1"/>
                <w:color w:val="auto"/>
              </w:rPr>
              <w:t>(52.9)</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95"/>
              <w:spacing w:after="0"/>
              <w:rPr>
                <w:sz w:val="20"/>
                <w:szCs w:val="20"/>
                <w:color w:val="auto"/>
              </w:rPr>
            </w:pPr>
            <w:r>
              <w:rPr>
                <w:rFonts w:ascii="Arial" w:cs="Arial" w:eastAsia="Arial" w:hAnsi="Arial"/>
                <w:sz w:val="18"/>
                <w:szCs w:val="18"/>
                <w:color w:val="auto"/>
                <w:w w:val="97"/>
              </w:rPr>
              <w:t>(48.9)</w:t>
            </w:r>
          </w:p>
        </w:tc>
      </w:tr>
      <w:tr>
        <w:trPr>
          <w:trHeight w:val="246"/>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deferred tax liability</w:t>
            </w:r>
          </w:p>
        </w:tc>
        <w:tc>
          <w:tcPr>
            <w:tcW w:w="1440" w:type="dxa"/>
            <w:vAlign w:val="bottom"/>
            <w:tcBorders>
              <w:bottom w:val="single" w:sz="8" w:color="auto"/>
            </w:tcBorders>
            <w:shd w:val="clear" w:color="auto" w:fill="CCEEFF"/>
          </w:tcPr>
          <w:p>
            <w:pPr>
              <w:jc w:val="right"/>
              <w:ind w:right="123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center"/>
              <w:ind w:left="95"/>
              <w:spacing w:after="0"/>
              <w:rPr>
                <w:sz w:val="20"/>
                <w:szCs w:val="20"/>
                <w:color w:val="auto"/>
              </w:rPr>
            </w:pPr>
            <w:r>
              <w:rPr>
                <w:rFonts w:ascii="Arial" w:cs="Arial" w:eastAsia="Arial" w:hAnsi="Arial"/>
                <w:sz w:val="18"/>
                <w:szCs w:val="18"/>
                <w:b w:val="1"/>
                <w:bCs w:val="1"/>
                <w:color w:val="auto"/>
              </w:rPr>
              <w:t>(25.8)</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895"/>
              <w:spacing w:after="0"/>
              <w:rPr>
                <w:sz w:val="20"/>
                <w:szCs w:val="20"/>
                <w:color w:val="auto"/>
              </w:rPr>
            </w:pPr>
            <w:r>
              <w:rPr>
                <w:rFonts w:ascii="Arial" w:cs="Arial" w:eastAsia="Arial" w:hAnsi="Arial"/>
                <w:sz w:val="18"/>
                <w:szCs w:val="18"/>
                <w:color w:val="auto"/>
                <w:w w:val="97"/>
              </w:rPr>
              <w:t>(30.6)</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60" w:firstLine="402"/>
        <w:spacing w:after="0" w:line="259" w:lineRule="auto"/>
        <w:rPr>
          <w:sz w:val="20"/>
          <w:szCs w:val="20"/>
          <w:color w:val="auto"/>
        </w:rPr>
      </w:pPr>
      <w:r>
        <w:rPr>
          <w:rFonts w:ascii="Arial" w:cs="Arial" w:eastAsia="Arial" w:hAnsi="Arial"/>
          <w:sz w:val="18"/>
          <w:szCs w:val="18"/>
          <w:color w:val="auto"/>
        </w:rPr>
        <w:t>The valuation allowance recorded primarily relates to net operating loss, tax credit, and capital loss carryforwards for which utilization is uncertain. Cumulative tax losses in certain state and foreign jurisdictions during recent years, limited carryforward periods in certain jurisdictions, future reversals of existing taxable temporary differences, and reasonable tax planning strategies were among the factors considered in determining the valuation allowance. Individually, none of these tax carryforwards presents a material exposure.</w:t>
      </w:r>
    </w:p>
    <w:p>
      <w:pPr>
        <w:spacing w:after="0" w:line="58" w:lineRule="exact"/>
        <w:rPr>
          <w:sz w:val="20"/>
          <w:szCs w:val="20"/>
          <w:color w:val="auto"/>
        </w:rPr>
      </w:pPr>
    </w:p>
    <w:p>
      <w:pPr>
        <w:ind w:right="620" w:firstLine="402"/>
        <w:spacing w:after="0" w:line="282" w:lineRule="auto"/>
        <w:rPr>
          <w:sz w:val="20"/>
          <w:szCs w:val="20"/>
          <w:color w:val="auto"/>
        </w:rPr>
      </w:pPr>
      <w:r>
        <w:rPr>
          <w:rFonts w:ascii="Arial" w:cs="Arial" w:eastAsia="Arial" w:hAnsi="Arial"/>
          <w:sz w:val="18"/>
          <w:szCs w:val="18"/>
          <w:color w:val="auto"/>
        </w:rPr>
        <w:t>Most of our tax carryforwards have expiration dates that vary generally over the next 20 years, with no amount greater than $10.0 expiring in any one year.</w:t>
      </w:r>
    </w:p>
    <w:p>
      <w:pPr>
        <w:spacing w:after="0" w:line="36" w:lineRule="exact"/>
        <w:rPr>
          <w:sz w:val="20"/>
          <w:szCs w:val="20"/>
          <w:color w:val="auto"/>
        </w:rPr>
      </w:pPr>
    </w:p>
    <w:p>
      <w:pPr>
        <w:ind w:right="80" w:firstLine="402"/>
        <w:spacing w:after="0" w:line="265" w:lineRule="auto"/>
        <w:rPr>
          <w:sz w:val="20"/>
          <w:szCs w:val="20"/>
          <w:color w:val="auto"/>
        </w:rPr>
      </w:pPr>
      <w:r>
        <w:rPr>
          <w:rFonts w:ascii="Arial" w:cs="Arial" w:eastAsia="Arial" w:hAnsi="Arial"/>
          <w:sz w:val="18"/>
          <w:szCs w:val="18"/>
          <w:color w:val="auto"/>
        </w:rPr>
        <w:t>Deferred withholding taxes (tax on undistributed earnings) have been provided on the earnings of our foreign subsidiaries to the extent it is anticipated that the earnings will be remitted in the future as dividends. We are not asserting permanent reinvestment on $629.7 of our earnings and have accrued tax on these undistributed earnings as presented in the table above.</w:t>
      </w:r>
    </w:p>
    <w:p>
      <w:pPr>
        <w:spacing w:after="0" w:line="38" w:lineRule="exact"/>
        <w:rPr>
          <w:sz w:val="20"/>
          <w:szCs w:val="20"/>
          <w:color w:val="auto"/>
        </w:rPr>
      </w:pPr>
    </w:p>
    <w:p>
      <w:pPr>
        <w:ind w:right="40" w:firstLine="402"/>
        <w:spacing w:after="0" w:line="259" w:lineRule="auto"/>
        <w:rPr>
          <w:sz w:val="20"/>
          <w:szCs w:val="20"/>
          <w:color w:val="auto"/>
        </w:rPr>
      </w:pPr>
      <w:r>
        <w:rPr>
          <w:rFonts w:ascii="Arial" w:cs="Arial" w:eastAsia="Arial" w:hAnsi="Arial"/>
          <w:sz w:val="18"/>
          <w:szCs w:val="18"/>
          <w:color w:val="auto"/>
        </w:rPr>
        <w:t>Foreign withholding taxes have not been provided on certain foreign earnings which are indefinitely reinvested outside the United States. The cumulative undistributed earnings which are indefinitely reinvested as of December 31, 2025, are $333.1. If such earnings were repatriated to the United States through dividends, the resulting incremental tax expense would approximate $20.1, based on present income tax laws.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Paid, Net of Refunds Received</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cash paid for income taxes, net of refunds received, by jurisdiction as follows:</w:t>
      </w:r>
    </w:p>
    <w:p>
      <w:pPr>
        <w:spacing w:after="0" w:line="124"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36"/>
              <w:spacing w:after="0"/>
              <w:rPr>
                <w:sz w:val="20"/>
                <w:szCs w:val="20"/>
                <w:color w:val="auto"/>
              </w:rPr>
            </w:pPr>
            <w:r>
              <w:rPr>
                <w:rFonts w:ascii="Arial" w:cs="Arial" w:eastAsia="Arial" w:hAnsi="Arial"/>
                <w:sz w:val="14"/>
                <w:szCs w:val="14"/>
                <w:b w:val="1"/>
                <w:bCs w:val="1"/>
                <w:color w:val="auto"/>
              </w:rPr>
              <w:t>Year Ended</w:t>
            </w:r>
          </w:p>
        </w:tc>
      </w:tr>
      <w:tr>
        <w:trPr>
          <w:trHeight w:val="184"/>
        </w:trPr>
        <w:tc>
          <w:tcPr>
            <w:tcW w:w="6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December 31,</w:t>
            </w:r>
          </w:p>
        </w:tc>
      </w:tr>
      <w:tr>
        <w:trPr>
          <w:trHeight w:val="194"/>
        </w:trPr>
        <w:tc>
          <w:tcPr>
            <w:tcW w:w="6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2025</w:t>
            </w:r>
          </w:p>
        </w:tc>
      </w:tr>
      <w:tr>
        <w:trPr>
          <w:trHeight w:val="222"/>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r>
      <w:tr>
        <w:trPr>
          <w:trHeight w:val="228"/>
        </w:trPr>
        <w:tc>
          <w:tcPr>
            <w:tcW w:w="636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8"/>
        </w:trPr>
        <w:tc>
          <w:tcPr>
            <w:tcW w:w="6360" w:type="dxa"/>
            <w:vAlign w:val="bottom"/>
          </w:tcPr>
          <w:p>
            <w:pPr>
              <w:ind w:left="24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14.8</w:t>
            </w:r>
          </w:p>
        </w:tc>
      </w:tr>
      <w:tr>
        <w:trPr>
          <w:trHeight w:val="228"/>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r>
      <w:tr>
        <w:trPr>
          <w:trHeight w:val="228"/>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All other foreign jurisdictions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r>
      <w:tr>
        <w:trPr>
          <w:trHeight w:val="221"/>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foreign</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r>
      <w:tr>
        <w:trPr>
          <w:trHeight w:val="221"/>
        </w:trPr>
        <w:tc>
          <w:tcPr>
            <w:tcW w:w="6360" w:type="dxa"/>
            <w:vAlign w:val="bottom"/>
          </w:tcPr>
          <w:p>
            <w:pPr>
              <w:ind w:left="20"/>
              <w:spacing w:after="0"/>
              <w:rPr>
                <w:sz w:val="20"/>
                <w:szCs w:val="20"/>
                <w:color w:val="auto"/>
              </w:rPr>
            </w:pPr>
            <w:r>
              <w:rPr>
                <w:rFonts w:ascii="Arial" w:cs="Arial" w:eastAsia="Arial" w:hAnsi="Arial"/>
                <w:sz w:val="18"/>
                <w:szCs w:val="18"/>
                <w:color w:val="auto"/>
              </w:rPr>
              <w:t>Total income taxes paid, net of refunds received</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820" w:firstLine="402"/>
        <w:spacing w:after="0" w:line="404" w:lineRule="auto"/>
        <w:rPr>
          <w:sz w:val="20"/>
          <w:szCs w:val="20"/>
          <w:color w:val="auto"/>
        </w:rPr>
      </w:pPr>
      <w:r>
        <w:rPr>
          <w:rFonts w:ascii="Arial" w:cs="Arial" w:eastAsia="Arial" w:hAnsi="Arial"/>
          <w:sz w:val="18"/>
          <w:szCs w:val="18"/>
          <w:color w:val="auto"/>
        </w:rPr>
        <w:t xml:space="preserve">Cash paid for income taxes for the years ended December 31, 2024 and 2023 was $82.4 and $98.8, respectively. </w:t>
      </w:r>
      <w:r>
        <w:rPr>
          <w:rFonts w:ascii="Arial" w:cs="Arial" w:eastAsia="Arial" w:hAnsi="Arial"/>
          <w:sz w:val="18"/>
          <w:szCs w:val="18"/>
          <w:b w:val="1"/>
          <w:bCs w:val="1"/>
          <w:color w:val="auto"/>
        </w:rPr>
        <w:t>P—Accumulated Other Comprehensive Income (Loss)</w:t>
      </w:r>
    </w:p>
    <w:p>
      <w:pPr>
        <w:ind w:right="160" w:firstLine="442"/>
        <w:spacing w:after="0" w:line="277" w:lineRule="auto"/>
        <w:rPr>
          <w:sz w:val="20"/>
          <w:szCs w:val="20"/>
          <w:color w:val="auto"/>
        </w:rPr>
      </w:pPr>
      <w:r>
        <w:rPr>
          <w:rFonts w:ascii="Arial" w:cs="Arial" w:eastAsia="Arial" w:hAnsi="Arial"/>
          <w:sz w:val="18"/>
          <w:szCs w:val="18"/>
          <w:color w:val="auto"/>
        </w:rPr>
        <w:t>The following table sets forth the changes in each component of "Accumulated other comprehensive loss" shown on our Consolidated Balance Sheets:</w:t>
      </w:r>
    </w:p>
    <w:tbl>
      <w:tblPr>
        <w:tblLayout w:type="fixed"/>
        <w:tblInd w:w="500" w:type="dxa"/>
        <w:tblCellMar>
          <w:top w:w="0" w:type="dxa"/>
          <w:left w:w="0" w:type="dxa"/>
          <w:bottom w:w="0" w:type="dxa"/>
          <w:right w:w="0" w:type="dxa"/>
        </w:tblCellMar>
      </w:tblPr>
      <w:tr>
        <w:trPr>
          <w:trHeight w:val="144"/>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Defined</w:t>
            </w:r>
          </w:p>
        </w:tc>
        <w:tc>
          <w:tcPr>
            <w:tcW w:w="180" w:type="dxa"/>
            <w:vAlign w:val="bottom"/>
          </w:tcPr>
          <w:p>
            <w:pPr>
              <w:spacing w:after="0"/>
              <w:rPr>
                <w:sz w:val="12"/>
                <w:szCs w:val="12"/>
                <w:color w:val="auto"/>
              </w:rPr>
            </w:pPr>
          </w:p>
        </w:tc>
        <w:tc>
          <w:tcPr>
            <w:tcW w:w="1380" w:type="dxa"/>
            <w:vAlign w:val="bottom"/>
          </w:tcPr>
          <w:p>
            <w:pPr>
              <w:jc w:val="center"/>
              <w:ind w:right="75"/>
              <w:spacing w:after="0" w:line="14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Benefit</w:t>
            </w:r>
          </w:p>
        </w:tc>
        <w:tc>
          <w:tcPr>
            <w:tcW w:w="180" w:type="dxa"/>
            <w:vAlign w:val="bottom"/>
          </w:tcPr>
          <w:p>
            <w:pPr>
              <w:spacing w:after="0"/>
              <w:rPr>
                <w:sz w:val="12"/>
                <w:szCs w:val="12"/>
                <w:color w:val="auto"/>
              </w:rPr>
            </w:pPr>
          </w:p>
        </w:tc>
        <w:tc>
          <w:tcPr>
            <w:tcW w:w="138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8"/>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38"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38" w:lineRule="exact"/>
              <w:rPr>
                <w:sz w:val="20"/>
                <w:szCs w:val="20"/>
                <w:color w:val="auto"/>
              </w:rPr>
            </w:pPr>
            <w:r>
              <w:rPr>
                <w:rFonts w:ascii="Arial" w:cs="Arial" w:eastAsia="Arial" w:hAnsi="Arial"/>
                <w:sz w:val="14"/>
                <w:szCs w:val="14"/>
                <w:b w:val="1"/>
                <w:bCs w:val="1"/>
                <w:color w:val="auto"/>
              </w:rPr>
              <w:t>Flow</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2"/>
                <w:szCs w:val="12"/>
                <w:color w:val="auto"/>
              </w:rPr>
            </w:pPr>
          </w:p>
        </w:tc>
        <w:tc>
          <w:tcPr>
            <w:tcW w:w="1380" w:type="dxa"/>
            <w:vAlign w:val="bottom"/>
          </w:tcPr>
          <w:p>
            <w:pPr>
              <w:jc w:val="center"/>
              <w:ind w:right="95"/>
              <w:spacing w:after="0" w:line="138"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Hedges</w:t>
            </w: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7"/>
                <w:szCs w:val="17"/>
                <w:color w:val="auto"/>
              </w:rPr>
            </w:pPr>
          </w:p>
        </w:tc>
        <w:tc>
          <w:tcPr>
            <w:tcW w:w="1380" w:type="dxa"/>
            <w:vAlign w:val="bottom"/>
          </w:tcPr>
          <w:p>
            <w:pPr>
              <w:jc w:val="center"/>
              <w:ind w:right="95"/>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222"/>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 pretax</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Income tax effect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 pretax</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color w:val="auto"/>
              </w:rPr>
              <w:t>Income tax effect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1"/>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340"/>
              <w:spacing w:after="0" w:line="227" w:lineRule="exact"/>
              <w:rPr>
                <w:sz w:val="20"/>
                <w:szCs w:val="20"/>
                <w:color w:val="auto"/>
              </w:rPr>
            </w:pPr>
            <w:r>
              <w:rPr>
                <w:rFonts w:ascii="Arial" w:cs="Arial" w:eastAsia="Arial" w:hAnsi="Arial"/>
                <w:sz w:val="17"/>
                <w:szCs w:val="17"/>
                <w:b w:val="1"/>
                <w:bCs w:val="1"/>
                <w:color w:val="auto"/>
              </w:rPr>
              <w:t xml:space="preserve">Reclassifications, pretax </w:t>
            </w:r>
            <w:r>
              <w:rPr>
                <w:rFonts w:ascii="Arial" w:cs="Arial" w:eastAsia="Arial" w:hAnsi="Arial"/>
                <w:sz w:val="26"/>
                <w:szCs w:val="26"/>
                <w:b w:val="1"/>
                <w:bCs w:val="1"/>
                <w:color w:val="auto"/>
                <w:vertAlign w:val="superscript"/>
              </w:rPr>
              <w:t>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28"/>
        </w:trPr>
        <w:tc>
          <w:tcPr>
            <w:tcW w:w="5260" w:type="dxa"/>
            <w:vAlign w:val="bottom"/>
          </w:tcPr>
          <w:p>
            <w:pPr>
              <w:ind w:left="340"/>
              <w:spacing w:after="0"/>
              <w:rPr>
                <w:sz w:val="20"/>
                <w:szCs w:val="20"/>
                <w:color w:val="auto"/>
              </w:rPr>
            </w:pPr>
            <w:r>
              <w:rPr>
                <w:rFonts w:ascii="Arial" w:cs="Arial" w:eastAsia="Arial" w:hAnsi="Arial"/>
                <w:sz w:val="18"/>
                <w:szCs w:val="18"/>
                <w:b w:val="1"/>
                <w:bCs w:val="1"/>
                <w:color w:val="auto"/>
              </w:rPr>
              <w:t>Income tax effect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46"/>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5480" w:right="3540" w:hanging="4668"/>
        <w:spacing w:after="0" w:line="848" w:lineRule="auto"/>
        <w:tabs>
          <w:tab w:leader="none" w:pos="926" w:val="left"/>
        </w:tabs>
        <w:numPr>
          <w:ilvl w:val="0"/>
          <w:numId w:val="88"/>
        </w:numPr>
        <w:rPr>
          <w:rFonts w:ascii="Arial" w:cs="Arial" w:eastAsia="Arial" w:hAnsi="Arial"/>
          <w:sz w:val="28"/>
          <w:szCs w:val="28"/>
          <w:b w:val="1"/>
          <w:bCs w:val="1"/>
          <w:color w:val="auto"/>
          <w:vertAlign w:val="superscript"/>
        </w:rPr>
      </w:pPr>
      <w:r>
        <w:rPr>
          <w:rFonts w:ascii="Arial" w:cs="Arial" w:eastAsia="Arial" w:hAnsi="Arial"/>
          <w:sz w:val="18"/>
          <w:szCs w:val="18"/>
          <w:color w:val="auto"/>
        </w:rPr>
        <w:t xml:space="preserve">The defined benefit pension plans includes a $22.0 pension settlement (see </w:t>
      </w:r>
      <w:r>
        <w:rPr>
          <w:rFonts w:ascii="Arial" w:cs="Arial" w:eastAsia="Arial" w:hAnsi="Arial"/>
          <w:sz w:val="18"/>
          <w:szCs w:val="18"/>
          <w:u w:val="single" w:color="auto"/>
          <w:color w:val="0000FF"/>
        </w:rPr>
        <w:t>Note M</w:t>
      </w:r>
      <w:r>
        <w:rPr>
          <w:rFonts w:ascii="Arial" w:cs="Arial" w:eastAsia="Arial" w:hAnsi="Arial"/>
          <w:sz w:val="18"/>
          <w:szCs w:val="18"/>
          <w:color w:val="auto"/>
        </w:rPr>
        <w:t>).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Q—Fair Value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areas in which we utilize fair value measures of financial assets and liabilities are presented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4"/>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09"/>
        </w:trPr>
        <w:tc>
          <w:tcPr>
            <w:tcW w:w="7480" w:type="dxa"/>
            <w:vAlign w:val="bottom"/>
            <w:tcBorders>
              <w:top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8"/>
        </w:trPr>
        <w:tc>
          <w:tcPr>
            <w:tcW w:w="7480" w:type="dxa"/>
            <w:vAlign w:val="bottom"/>
            <w:gridSpan w:val="10"/>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8"/>
        </w:trPr>
        <w:tc>
          <w:tcPr>
            <w:tcW w:w="7480" w:type="dxa"/>
            <w:vAlign w:val="bottom"/>
            <w:gridSpan w:val="10"/>
            <w:shd w:val="clear" w:color="auto" w:fill="CCEEFF"/>
          </w:tcPr>
          <w:p>
            <w:pPr>
              <w:ind w:left="560"/>
              <w:spacing w:after="0"/>
              <w:rPr>
                <w:sz w:val="20"/>
                <w:szCs w:val="20"/>
                <w:color w:val="auto"/>
              </w:rPr>
            </w:pPr>
            <w:r>
              <w:rPr>
                <w:rFonts w:ascii="Arial" w:cs="Arial" w:eastAsia="Arial" w:hAnsi="Arial"/>
                <w:sz w:val="18"/>
                <w:szCs w:val="18"/>
                <w:color w:val="auto"/>
              </w:rPr>
              <w:t>Bank time deposits with original maturities of three months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217.0</w:t>
            </w: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assets (see </w:t>
            </w:r>
            <w:r>
              <w:rPr>
                <w:rFonts w:ascii="Arial" w:cs="Arial" w:eastAsia="Arial" w:hAnsi="Arial"/>
                <w:sz w:val="18"/>
                <w:szCs w:val="18"/>
                <w:color w:val="0000FF"/>
              </w:rPr>
              <w:t>Note R</w:t>
            </w: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4.5</w:t>
            </w:r>
          </w:p>
        </w:tc>
      </w:tr>
      <w:tr>
        <w:trPr>
          <w:trHeight w:val="20"/>
        </w:trPr>
        <w:tc>
          <w:tcPr>
            <w:tcW w:w="2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Diversified investments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60.2</w:t>
            </w:r>
          </w:p>
        </w:tc>
      </w:tr>
      <w:tr>
        <w:trPr>
          <w:trHeight w:val="221"/>
        </w:trPr>
        <w:tc>
          <w:tcPr>
            <w:tcW w:w="5340" w:type="dxa"/>
            <w:vAlign w:val="bottom"/>
            <w:tcBorders>
              <w:top w:val="single" w:sz="8" w:color="CCEEFF"/>
            </w:tcBorders>
            <w:gridSpan w:val="8"/>
          </w:tcPr>
          <w:p>
            <w:pPr>
              <w:ind w:left="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0000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281.7</w:t>
            </w: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5"/>
        </w:trPr>
        <w:tc>
          <w:tcPr>
            <w:tcW w:w="7480" w:type="dxa"/>
            <w:vAlign w:val="bottom"/>
            <w:gridSpan w:val="10"/>
            <w:shd w:val="clear" w:color="auto" w:fill="CCEEFF"/>
          </w:tcPr>
          <w:p>
            <w:pPr>
              <w:ind w:left="20"/>
              <w:spacing w:after="0" w:line="195"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liabilities (see </w:t>
            </w:r>
            <w:r>
              <w:rPr>
                <w:rFonts w:ascii="Arial" w:cs="Arial" w:eastAsia="Arial" w:hAnsi="Arial"/>
                <w:sz w:val="18"/>
                <w:szCs w:val="18"/>
                <w:color w:val="0000FF"/>
              </w:rPr>
              <w:t>Note R</w:t>
            </w:r>
            <w:r>
              <w:rPr>
                <w:rFonts w:ascii="Arial" w:cs="Arial" w:eastAsia="Arial" w:hAnsi="Arial"/>
                <w:sz w:val="18"/>
                <w:szCs w:val="18"/>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line="188"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6"/>
                <w:szCs w:val="16"/>
                <w:color w:val="auto"/>
              </w:rPr>
            </w:pPr>
          </w:p>
        </w:tc>
        <w:tc>
          <w:tcPr>
            <w:tcW w:w="1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1.2</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b w:val="1"/>
                <w:bCs w:val="1"/>
                <w:color w:val="auto"/>
              </w:rPr>
              <w:t>62.4</w:t>
            </w:r>
          </w:p>
        </w:tc>
      </w:tr>
      <w:tr>
        <w:trPr>
          <w:trHeight w:val="221"/>
        </w:trPr>
        <w:tc>
          <w:tcPr>
            <w:tcW w:w="422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0000FF"/>
            </w:tcBorders>
            <w:gridSpan w:val="2"/>
          </w:tcPr>
          <w:p>
            <w:pPr>
              <w:spacing w:after="0"/>
              <w:rPr>
                <w:sz w:val="19"/>
                <w:szCs w:val="19"/>
                <w:color w:val="auto"/>
              </w:rPr>
            </w:pPr>
          </w:p>
        </w:tc>
        <w:tc>
          <w:tcPr>
            <w:tcW w:w="2720" w:type="dxa"/>
            <w:vAlign w:val="bottom"/>
            <w:tcBorders>
              <w:top w:val="single" w:sz="8" w:color="CCEEFF"/>
            </w:tcBorders>
            <w:gridSpan w:val="3"/>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4"/>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94"/>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09"/>
        </w:trPr>
        <w:tc>
          <w:tcPr>
            <w:tcW w:w="7480" w:type="dxa"/>
            <w:vAlign w:val="bottom"/>
            <w:tcBorders>
              <w:top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8"/>
        </w:trPr>
        <w:tc>
          <w:tcPr>
            <w:tcW w:w="7480" w:type="dxa"/>
            <w:vAlign w:val="bottom"/>
            <w:gridSpan w:val="10"/>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8"/>
        </w:trPr>
        <w:tc>
          <w:tcPr>
            <w:tcW w:w="7480" w:type="dxa"/>
            <w:vAlign w:val="bottom"/>
            <w:gridSpan w:val="10"/>
            <w:shd w:val="clear" w:color="auto" w:fill="CCEEFF"/>
          </w:tcPr>
          <w:p>
            <w:pPr>
              <w:ind w:left="560"/>
              <w:spacing w:after="0"/>
              <w:rPr>
                <w:sz w:val="20"/>
                <w:szCs w:val="20"/>
                <w:color w:val="auto"/>
              </w:rPr>
            </w:pPr>
            <w:r>
              <w:rPr>
                <w:rFonts w:ascii="Arial" w:cs="Arial" w:eastAsia="Arial" w:hAnsi="Arial"/>
                <w:sz w:val="18"/>
                <w:szCs w:val="18"/>
                <w:color w:val="auto"/>
              </w:rPr>
              <w:t>Bank time deposits with original maturities of three months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assets (see </w:t>
            </w:r>
            <w:r>
              <w:rPr>
                <w:rFonts w:ascii="Arial" w:cs="Arial" w:eastAsia="Arial" w:hAnsi="Arial"/>
                <w:sz w:val="18"/>
                <w:szCs w:val="18"/>
                <w:color w:val="0000FF"/>
              </w:rPr>
              <w:t>Note R</w:t>
            </w: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5.1</w:t>
            </w:r>
          </w:p>
        </w:tc>
      </w:tr>
      <w:tr>
        <w:trPr>
          <w:trHeight w:val="20"/>
        </w:trPr>
        <w:tc>
          <w:tcPr>
            <w:tcW w:w="21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Diversified investments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55.1</w:t>
            </w:r>
          </w:p>
        </w:tc>
      </w:tr>
      <w:tr>
        <w:trPr>
          <w:trHeight w:val="221"/>
        </w:trPr>
        <w:tc>
          <w:tcPr>
            <w:tcW w:w="5340" w:type="dxa"/>
            <w:vAlign w:val="bottom"/>
            <w:tcBorders>
              <w:top w:val="single" w:sz="8" w:color="CCEEFF"/>
            </w:tcBorders>
            <w:gridSpan w:val="8"/>
          </w:tcPr>
          <w:p>
            <w:pPr>
              <w:ind w:left="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0000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w:t>
            </w: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5"/>
        </w:trPr>
        <w:tc>
          <w:tcPr>
            <w:tcW w:w="7480" w:type="dxa"/>
            <w:vAlign w:val="bottom"/>
            <w:gridSpan w:val="10"/>
            <w:shd w:val="clear" w:color="auto" w:fill="CCEEFF"/>
          </w:tcPr>
          <w:p>
            <w:pPr>
              <w:ind w:left="20"/>
              <w:spacing w:after="0" w:line="195"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8"/>
        </w:trPr>
        <w:tc>
          <w:tcPr>
            <w:tcW w:w="7480" w:type="dxa"/>
            <w:vAlign w:val="bottom"/>
            <w:gridSpan w:val="10"/>
          </w:tcPr>
          <w:p>
            <w:pPr>
              <w:ind w:left="340"/>
              <w:spacing w:after="0" w:line="188" w:lineRule="exact"/>
              <w:rPr>
                <w:sz w:val="20"/>
                <w:szCs w:val="20"/>
                <w:color w:val="auto"/>
              </w:rPr>
            </w:pPr>
            <w:r>
              <w:rPr>
                <w:rFonts w:ascii="Arial" w:cs="Arial" w:eastAsia="Arial" w:hAnsi="Arial"/>
                <w:sz w:val="18"/>
                <w:szCs w:val="18"/>
                <w:color w:val="auto"/>
              </w:rPr>
              <w:t xml:space="preserve">Derivative liabilities (see </w:t>
            </w:r>
            <w:r>
              <w:rPr>
                <w:rFonts w:ascii="Arial" w:cs="Arial" w:eastAsia="Arial" w:hAnsi="Arial"/>
                <w:sz w:val="18"/>
                <w:szCs w:val="18"/>
                <w:color w:val="0000FF"/>
              </w:rPr>
              <w:t>Note R</w:t>
            </w:r>
            <w:r>
              <w:rPr>
                <w:rFonts w:ascii="Arial" w:cs="Arial" w:eastAsia="Arial" w:hAnsi="Arial"/>
                <w:sz w:val="18"/>
                <w:szCs w:val="18"/>
                <w:color w:val="auto"/>
              </w:rPr>
              <w:t>)</w:t>
            </w:r>
          </w:p>
        </w:tc>
        <w:tc>
          <w:tcPr>
            <w:tcW w:w="140" w:type="dxa"/>
            <w:vAlign w:val="bottom"/>
          </w:tcPr>
          <w:p>
            <w:pPr>
              <w:jc w:val="right"/>
              <w:spacing w:after="0" w:line="188"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88"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8"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6"/>
                <w:szCs w:val="16"/>
                <w:color w:val="auto"/>
              </w:rPr>
            </w:pPr>
          </w:p>
        </w:tc>
        <w:tc>
          <w:tcPr>
            <w:tcW w:w="140" w:type="dxa"/>
            <w:vAlign w:val="bottom"/>
          </w:tcPr>
          <w:p>
            <w:pPr>
              <w:jc w:val="right"/>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line="188"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auto"/>
              </w:rPr>
              <w:t>7.0</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7480" w:type="dxa"/>
            <w:vAlign w:val="bottom"/>
            <w:gridSpan w:val="10"/>
            <w:shd w:val="clear" w:color="auto" w:fill="CCEEFF"/>
          </w:tcPr>
          <w:p>
            <w:pPr>
              <w:ind w:left="340"/>
              <w:spacing w:after="0" w:line="188" w:lineRule="exact"/>
              <w:rPr>
                <w:sz w:val="20"/>
                <w:szCs w:val="20"/>
                <w:color w:val="auto"/>
              </w:rPr>
            </w:pPr>
            <w:r>
              <w:rPr>
                <w:rFonts w:ascii="Arial" w:cs="Arial" w:eastAsia="Arial" w:hAnsi="Arial"/>
                <w:sz w:val="18"/>
                <w:szCs w:val="18"/>
                <w:color w:val="auto"/>
              </w:rPr>
              <w:t xml:space="preserve">Liabilities associated with the ESU program (see </w:t>
            </w:r>
            <w:r>
              <w:rPr>
                <w:rFonts w:ascii="Arial" w:cs="Arial" w:eastAsia="Arial" w:hAnsi="Arial"/>
                <w:sz w:val="18"/>
                <w:szCs w:val="18"/>
                <w:color w:val="0000FF"/>
              </w:rPr>
              <w:t>Note L</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line="18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53.9</w:t>
            </w:r>
          </w:p>
        </w:tc>
      </w:tr>
      <w:tr>
        <w:trPr>
          <w:trHeight w:val="221"/>
        </w:trPr>
        <w:tc>
          <w:tcPr>
            <w:tcW w:w="4220" w:type="dxa"/>
            <w:vAlign w:val="bottom"/>
            <w:tcBorders>
              <w:top w:val="single" w:sz="8" w:color="CCEEFF"/>
            </w:tcBorders>
            <w:gridSpan w:val="5"/>
          </w:tcPr>
          <w:p>
            <w:pPr>
              <w:ind w:left="2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0000FF"/>
            </w:tcBorders>
          </w:tcPr>
          <w:p>
            <w:pPr>
              <w:spacing w:after="0"/>
              <w:rPr>
                <w:sz w:val="19"/>
                <w:szCs w:val="19"/>
                <w:color w:val="auto"/>
              </w:rPr>
            </w:pPr>
          </w:p>
        </w:tc>
        <w:tc>
          <w:tcPr>
            <w:tcW w:w="2740" w:type="dxa"/>
            <w:vAlign w:val="bottom"/>
            <w:tcBorders>
              <w:top w:val="single" w:sz="8" w:color="CCEEFF"/>
            </w:tcBorders>
            <w:gridSpan w:val="4"/>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transfers between Level 1 and Level 2 for any of the periods presented.</w:t>
      </w:r>
    </w:p>
    <w:p>
      <w:pPr>
        <w:spacing w:after="0" w:line="101" w:lineRule="exact"/>
        <w:rPr>
          <w:sz w:val="20"/>
          <w:szCs w:val="20"/>
          <w:color w:val="auto"/>
        </w:rPr>
      </w:pPr>
    </w:p>
    <w:p>
      <w:pPr>
        <w:ind w:right="40" w:firstLine="402"/>
        <w:spacing w:after="0" w:line="282" w:lineRule="auto"/>
        <w:rPr>
          <w:sz w:val="20"/>
          <w:szCs w:val="20"/>
          <w:color w:val="auto"/>
        </w:rPr>
      </w:pPr>
      <w:r>
        <w:rPr>
          <w:rFonts w:ascii="Arial" w:cs="Arial" w:eastAsia="Arial" w:hAnsi="Arial"/>
          <w:sz w:val="18"/>
          <w:szCs w:val="18"/>
          <w:color w:val="auto"/>
        </w:rPr>
        <w:t>The fair value for fixed rate debt (Level 1) was approximately $175.0 less than carrying value of $1,490.0 at December 31, 2025 and was approximately $245.0 less than carrying value of $1,488.3 at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R—Derivative Financial Instruments</w:t>
      </w:r>
    </w:p>
    <w:p>
      <w:pPr>
        <w:spacing w:after="0" w:line="101" w:lineRule="exact"/>
        <w:rPr>
          <w:sz w:val="20"/>
          <w:szCs w:val="20"/>
          <w:color w:val="auto"/>
        </w:rPr>
      </w:pPr>
    </w:p>
    <w:p>
      <w:pPr>
        <w:jc w:val="both"/>
        <w:ind w:right="160" w:firstLine="402"/>
        <w:spacing w:after="0" w:line="265" w:lineRule="auto"/>
        <w:rPr>
          <w:sz w:val="20"/>
          <w:szCs w:val="20"/>
          <w:color w:val="auto"/>
        </w:rPr>
      </w:pPr>
      <w:r>
        <w:rPr>
          <w:rFonts w:ascii="Arial" w:cs="Arial" w:eastAsia="Arial" w:hAnsi="Arial"/>
          <w:sz w:val="18"/>
          <w:szCs w:val="18"/>
          <w:color w:val="auto"/>
        </w:rPr>
        <w:t>The following table presents assets and liabilities representing the fair value of our most significant derivative financial instruments. The fair values of the derivatives reflect the change in the market value of the derivative from the date of the trade execution and do not consider the offsetting underlying hedged item.</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As of December 31, 2025</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Total USD</w:t>
            </w: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Expiring at</w:t>
            </w: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line="20" w:lineRule="exact"/>
              <w:rPr>
                <w:sz w:val="1"/>
                <w:szCs w:val="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Other Long-</w:t>
            </w:r>
          </w:p>
        </w:tc>
        <w:tc>
          <w:tcPr>
            <w:tcW w:w="0" w:type="dxa"/>
            <w:vAlign w:val="bottom"/>
          </w:tcPr>
          <w:p>
            <w:pPr>
              <w:spacing w:after="0" w:line="20" w:lineRule="exact"/>
              <w:rPr>
                <w:sz w:val="1"/>
                <w:szCs w:val="1"/>
                <w:color w:val="auto"/>
              </w:rPr>
            </w:pPr>
          </w:p>
        </w:tc>
      </w:tr>
      <w:tr>
        <w:trPr>
          <w:trHeight w:val="147"/>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Equivalent</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 Current</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4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Derivatives</w:t>
            </w:r>
          </w:p>
        </w:tc>
        <w:tc>
          <w:tcPr>
            <w:tcW w:w="80" w:type="dxa"/>
            <w:vAlign w:val="bottom"/>
          </w:tcPr>
          <w:p>
            <w:pPr>
              <w:spacing w:after="0"/>
              <w:rPr>
                <w:sz w:val="12"/>
                <w:szCs w:val="12"/>
                <w:color w:val="auto"/>
              </w:rPr>
            </w:pPr>
          </w:p>
        </w:tc>
        <w:tc>
          <w:tcPr>
            <w:tcW w:w="11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rPr>
              <w:t>various dates</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Noncurrent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3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through:</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1"/>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140"/>
              <w:spacing w:after="0"/>
              <w:rPr>
                <w:sz w:val="20"/>
                <w:szCs w:val="20"/>
                <w:color w:val="auto"/>
              </w:rPr>
            </w:pPr>
            <w:r>
              <w:rPr>
                <w:rFonts w:ascii="Arial" w:cs="Arial" w:eastAsia="Arial" w:hAnsi="Arial"/>
                <w:sz w:val="18"/>
                <w:szCs w:val="18"/>
                <w:color w:val="auto"/>
              </w:rPr>
              <w:t>Total cash flow hedges-currency hedges</w:t>
            </w:r>
          </w:p>
        </w:tc>
        <w:tc>
          <w:tcPr>
            <w:tcW w:w="8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Jun 2027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240.5</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fair value hedges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b w:val="1"/>
                <w:bCs w:val="1"/>
                <w:color w:val="auto"/>
              </w:rPr>
              <w:t>Apr 2026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Arial" w:cs="Arial" w:eastAsia="Arial" w:hAnsi="Arial"/>
                <w:sz w:val="18"/>
                <w:szCs w:val="18"/>
                <w:color w:val="auto"/>
              </w:rPr>
              <w:t>Not designated as hedging instruments</w:t>
            </w:r>
          </w:p>
        </w:tc>
        <w:tc>
          <w:tcPr>
            <w:tcW w:w="8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Jun 2026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6"/>
        </w:trPr>
        <w:tc>
          <w:tcPr>
            <w:tcW w:w="394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derivatives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320"/>
              <w:spacing w:after="0"/>
              <w:rPr>
                <w:sz w:val="20"/>
                <w:szCs w:val="20"/>
                <w:color w:val="auto"/>
              </w:rPr>
            </w:pPr>
            <w:r>
              <w:rPr>
                <w:rFonts w:ascii="Arial" w:cs="Arial" w:eastAsia="Arial" w:hAnsi="Arial"/>
                <w:sz w:val="18"/>
                <w:szCs w:val="18"/>
                <w:color w:val="auto"/>
              </w:rPr>
              <w:t>120</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As of December 31, 2024</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Total USD</w:t>
            </w: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Expiring at</w:t>
            </w: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Other Long-</w:t>
            </w:r>
          </w:p>
        </w:tc>
        <w:tc>
          <w:tcPr>
            <w:tcW w:w="0" w:type="dxa"/>
            <w:vAlign w:val="bottom"/>
          </w:tcPr>
          <w:p>
            <w:pPr>
              <w:spacing w:after="0" w:line="20" w:lineRule="exact"/>
              <w:rPr>
                <w:sz w:val="1"/>
                <w:szCs w:val="1"/>
                <w:color w:val="auto"/>
              </w:rPr>
            </w:pPr>
          </w:p>
        </w:tc>
      </w:tr>
      <w:tr>
        <w:trPr>
          <w:trHeight w:val="143"/>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Equivalent</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 Current</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Derivatives</w:t>
            </w:r>
          </w:p>
        </w:tc>
        <w:tc>
          <w:tcPr>
            <w:tcW w:w="11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rPr>
              <w:t>various dates</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100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Noncurrent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88"/>
        </w:trPr>
        <w:tc>
          <w:tcPr>
            <w:tcW w:w="4020" w:type="dxa"/>
            <w:vAlign w:val="bottom"/>
            <w:gridSpan w:val="2"/>
            <w:vMerge w:val="continue"/>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through:</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1"/>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Designated as hedging instruments</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20" w:type="dxa"/>
            <w:vAlign w:val="bottom"/>
            <w:gridSpan w:val="2"/>
          </w:tcPr>
          <w:p>
            <w:pPr>
              <w:ind w:left="140"/>
              <w:spacing w:after="0"/>
              <w:rPr>
                <w:sz w:val="20"/>
                <w:szCs w:val="20"/>
                <w:color w:val="auto"/>
              </w:rPr>
            </w:pPr>
            <w:r>
              <w:rPr>
                <w:rFonts w:ascii="Arial" w:cs="Arial" w:eastAsia="Arial" w:hAnsi="Arial"/>
                <w:sz w:val="18"/>
                <w:szCs w:val="18"/>
                <w:color w:val="auto"/>
              </w:rPr>
              <w:t>Total cash flow hedges-currency hedges</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rPr>
              <w:t>Jun 2026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254.0</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4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fair value hedges</w:t>
            </w: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Jun 2025</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Not designated as hedging instruments</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color w:val="auto"/>
              </w:rPr>
              <w:t>Dec 2025</w:t>
            </w:r>
          </w:p>
        </w:tc>
        <w:tc>
          <w:tcPr>
            <w:tcW w:w="1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020" w:type="dxa"/>
            <w:vAlign w:val="bottom"/>
            <w:tcBorders>
              <w:top w:val="single" w:sz="8" w:color="CCEEFF"/>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Total derivatives</w:t>
            </w: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360"/>
        <w:spacing w:after="0" w:line="312" w:lineRule="auto"/>
        <w:rPr>
          <w:sz w:val="20"/>
          <w:szCs w:val="20"/>
          <w:color w:val="auto"/>
        </w:rPr>
      </w:pPr>
      <w:r>
        <w:rPr>
          <w:rFonts w:ascii="Arial" w:cs="Arial" w:eastAsia="Arial" w:hAnsi="Arial"/>
          <w:sz w:val="17"/>
          <w:szCs w:val="17"/>
          <w:color w:val="auto"/>
        </w:rPr>
        <w:t>The following table sets forth the pretax (gains) losses for our hedging activities for the years presented. This schedule includes reclassifications from accumulated other comprehensive income as well as derivative settlements recorded directly to income or expense.</w:t>
      </w:r>
    </w:p>
    <w:tbl>
      <w:tblPr>
        <w:tblLayout w:type="fixed"/>
        <w:tblInd w:w="480" w:type="dxa"/>
        <w:tblCellMar>
          <w:top w:w="0" w:type="dxa"/>
          <w:left w:w="0" w:type="dxa"/>
          <w:bottom w:w="0" w:type="dxa"/>
          <w:right w:w="0" w:type="dxa"/>
        </w:tblCellMar>
      </w:tblPr>
      <w:tr>
        <w:trPr>
          <w:trHeight w:val="158"/>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7"/>
          </w:tcPr>
          <w:p>
            <w:pPr>
              <w:jc w:val="center"/>
              <w:ind w:right="33"/>
              <w:spacing w:after="0" w:line="158" w:lineRule="exact"/>
              <w:rPr>
                <w:sz w:val="20"/>
                <w:szCs w:val="20"/>
                <w:color w:val="auto"/>
              </w:rPr>
            </w:pPr>
            <w:r>
              <w:rPr>
                <w:rFonts w:ascii="Arial" w:cs="Arial" w:eastAsia="Arial" w:hAnsi="Arial"/>
                <w:sz w:val="14"/>
                <w:szCs w:val="14"/>
                <w:b w:val="1"/>
                <w:bCs w:val="1"/>
                <w:color w:val="auto"/>
              </w:rPr>
              <w:t>Amount of Loss (Gain) Recorded in Income for the</w:t>
            </w:r>
          </w:p>
        </w:tc>
      </w:tr>
      <w:tr>
        <w:trPr>
          <w:trHeight w:val="184"/>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Consolidated Statements of Operations</w:t>
            </w: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r>
      <w:tr>
        <w:trPr>
          <w:trHeight w:val="194"/>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Derivatives</w:t>
            </w:r>
          </w:p>
        </w:tc>
        <w:tc>
          <w:tcPr>
            <w:tcW w:w="3040" w:type="dxa"/>
            <w:vAlign w:val="bottom"/>
            <w:gridSpan w:val="2"/>
          </w:tcPr>
          <w:p>
            <w:pPr>
              <w:ind w:left="1040"/>
              <w:spacing w:after="0"/>
              <w:rPr>
                <w:sz w:val="20"/>
                <w:szCs w:val="20"/>
                <w:color w:val="auto"/>
              </w:rPr>
            </w:pPr>
            <w:r>
              <w:rPr>
                <w:rFonts w:ascii="Arial" w:cs="Arial" w:eastAsia="Arial" w:hAnsi="Arial"/>
                <w:sz w:val="14"/>
                <w:szCs w:val="14"/>
                <w:b w:val="1"/>
                <w:bCs w:val="1"/>
                <w:color w:val="auto"/>
              </w:rPr>
              <w:t>Presentation</w:t>
            </w:r>
          </w:p>
        </w:tc>
        <w:tc>
          <w:tcPr>
            <w:tcW w:w="12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9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r>
      <w:tr>
        <w:trPr>
          <w:trHeight w:val="221"/>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Designated as hedging instruments</w:t>
            </w: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8"/>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Interest rate cash flow hedges</w:t>
            </w:r>
          </w:p>
        </w:tc>
        <w:tc>
          <w:tcPr>
            <w:tcW w:w="3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Currency cash flow hedges</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trade sales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Currency cash flow hedges</w:t>
            </w:r>
          </w:p>
        </w:tc>
        <w:tc>
          <w:tcPr>
            <w:tcW w:w="30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Currency cash flow hedges</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940" w:type="dxa"/>
            <w:vAlign w:val="bottom"/>
            <w:gridSpan w:val="2"/>
          </w:tcPr>
          <w:p>
            <w:pPr>
              <w:ind w:left="320"/>
              <w:spacing w:after="0"/>
              <w:rPr>
                <w:sz w:val="20"/>
                <w:szCs w:val="20"/>
                <w:color w:val="auto"/>
              </w:rPr>
            </w:pPr>
            <w:r>
              <w:rPr>
                <w:rFonts w:ascii="Arial" w:cs="Arial" w:eastAsia="Arial" w:hAnsi="Arial"/>
                <w:sz w:val="18"/>
                <w:szCs w:val="18"/>
                <w:color w:val="auto"/>
              </w:rPr>
              <w:t>Total cash flow hedges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3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Fair value hedges</w:t>
            </w: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Not designated as hedging instruments</w:t>
            </w:r>
          </w:p>
        </w:tc>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6"/>
        </w:trPr>
        <w:tc>
          <w:tcPr>
            <w:tcW w:w="3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derivative instruments</w:t>
            </w:r>
          </w:p>
        </w:tc>
        <w:tc>
          <w:tcPr>
            <w:tcW w:w="2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S—Divestitures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August 29, 2025, we divested our Aerospace Products Group (within our Specialized Products segment) for net cash proceeds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$280.3 and recognized a pretax gain of $90.9 after final adjustments for working capital were completed in December 2025. We collected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final working capital adjustment of $4.2 in January 2026.</w:t>
      </w:r>
    </w:p>
    <w:p>
      <w:pPr>
        <w:spacing w:after="0" w:line="83" w:lineRule="exact"/>
        <w:rPr>
          <w:sz w:val="20"/>
          <w:szCs w:val="20"/>
          <w:color w:val="auto"/>
        </w:rPr>
      </w:pPr>
    </w:p>
    <w:p>
      <w:pPr>
        <w:ind w:right="360" w:firstLine="402"/>
        <w:spacing w:after="0" w:line="274" w:lineRule="auto"/>
        <w:rPr>
          <w:sz w:val="20"/>
          <w:szCs w:val="20"/>
          <w:color w:val="auto"/>
        </w:rPr>
      </w:pPr>
      <w:r>
        <w:rPr>
          <w:rFonts w:ascii="Arial" w:cs="Arial" w:eastAsia="Arial" w:hAnsi="Arial"/>
          <w:sz w:val="18"/>
          <w:szCs w:val="18"/>
          <w:color w:val="auto"/>
        </w:rPr>
        <w:t>The Aerospace Products Group did not meet the criteria for discontinued operations because it did not represent a strategic shift that would have a major effect on our financial results and had external sales and pretax earnings as shown below:</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Year Ended December 31,</w:t>
      </w:r>
    </w:p>
    <w:p>
      <w:pPr>
        <w:spacing w:after="0" w:line="31" w:lineRule="exact"/>
        <w:rPr>
          <w:sz w:val="20"/>
          <w:szCs w:val="20"/>
          <w:color w:val="auto"/>
        </w:rPr>
      </w:pPr>
    </w:p>
    <w:tbl>
      <w:tblPr>
        <w:tblLayout w:type="fixed"/>
        <w:tblInd w:w="1340" w:type="dxa"/>
        <w:tblCellMar>
          <w:top w:w="0" w:type="dxa"/>
          <w:left w:w="0" w:type="dxa"/>
          <w:bottom w:w="0" w:type="dxa"/>
          <w:right w:w="0" w:type="dxa"/>
        </w:tblCellMar>
      </w:tblPr>
      <w:tr>
        <w:trPr>
          <w:trHeight w:val="194"/>
        </w:trPr>
        <w:tc>
          <w:tcPr>
            <w:tcW w:w="48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r>
      <w:tr>
        <w:trPr>
          <w:trHeight w:val="228"/>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sales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132.2</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190.2</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46"/>
        </w:trPr>
        <w:tc>
          <w:tcPr>
            <w:tcW w:w="4800" w:type="dxa"/>
            <w:vAlign w:val="bottom"/>
          </w:tcPr>
          <w:p>
            <w:pPr>
              <w:ind w:left="20"/>
              <w:spacing w:after="0"/>
              <w:rPr>
                <w:sz w:val="20"/>
                <w:szCs w:val="20"/>
                <w:color w:val="auto"/>
              </w:rPr>
            </w:pPr>
            <w:r>
              <w:rPr>
                <w:rFonts w:ascii="Arial" w:cs="Arial" w:eastAsia="Arial" w:hAnsi="Arial"/>
                <w:sz w:val="18"/>
                <w:szCs w:val="18"/>
                <w:color w:val="auto"/>
              </w:rPr>
              <w:t>Pretax earnings (excluding corporate overhead)</w:t>
            </w:r>
          </w:p>
        </w:tc>
        <w:tc>
          <w:tcPr>
            <w:tcW w:w="2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b w:val="1"/>
                <w:bCs w:val="1"/>
                <w:color w:val="auto"/>
              </w:rPr>
              <w:t>19.7</w:t>
            </w:r>
          </w:p>
        </w:tc>
        <w:tc>
          <w:tcPr>
            <w:tcW w:w="3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8" w:lineRule="exact"/>
        <w:rPr>
          <w:sz w:val="20"/>
          <w:szCs w:val="20"/>
          <w:color w:val="auto"/>
        </w:rPr>
      </w:pPr>
    </w:p>
    <w:p>
      <w:pPr>
        <w:jc w:val="both"/>
        <w:ind w:firstLine="402"/>
        <w:spacing w:after="0" w:line="265" w:lineRule="auto"/>
        <w:rPr>
          <w:sz w:val="20"/>
          <w:szCs w:val="20"/>
          <w:color w:val="auto"/>
        </w:rPr>
      </w:pPr>
      <w:r>
        <w:rPr>
          <w:rFonts w:ascii="Arial" w:cs="Arial" w:eastAsia="Arial" w:hAnsi="Arial"/>
          <w:sz w:val="18"/>
          <w:szCs w:val="18"/>
          <w:color w:val="auto"/>
        </w:rPr>
        <w:t>Depreciation and amortization were discontinued upon classification as held for sale (March 25, 2025, concurrent with the date our Board of Directors approved the sale). Accordingly, depreciation and amortization expense included in pre-tax earnings was $2.5, $10.2, and $9.1 for the years ended December 31, 2025, 2024, and 2023, respectively.</w:t>
      </w:r>
    </w:p>
    <w:p>
      <w:pPr>
        <w:spacing w:after="0" w:line="52" w:lineRule="exact"/>
        <w:rPr>
          <w:sz w:val="20"/>
          <w:szCs w:val="20"/>
          <w:color w:val="auto"/>
        </w:rPr>
      </w:pPr>
    </w:p>
    <w:p>
      <w:pPr>
        <w:ind w:right="60" w:firstLine="402"/>
        <w:spacing w:after="0" w:line="259" w:lineRule="auto"/>
        <w:rPr>
          <w:sz w:val="20"/>
          <w:szCs w:val="20"/>
          <w:color w:val="auto"/>
        </w:rPr>
      </w:pPr>
      <w:r>
        <w:rPr>
          <w:rFonts w:ascii="Arial" w:cs="Arial" w:eastAsia="Arial" w:hAnsi="Arial"/>
          <w:sz w:val="18"/>
          <w:szCs w:val="18"/>
          <w:color w:val="auto"/>
        </w:rPr>
        <w:t>Also in 2025, we divested a small U.S. machinery business (in March) within our Bedding Products segment for proceeds of $1.2 and a small Mexican Work Furniture operation (in May) within our Furniture, Flooring &amp; Textile Products segment for proceeds of $3.8. For both of these transactions, the net sales price approximated the carrying costs and both businesses had immaterial amounts of annual external sales and pretax earnings. The U.S. machinery business divestiture was also a part of the 2024 Plan.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T—Contingencies</w:t>
      </w:r>
    </w:p>
    <w:p>
      <w:pPr>
        <w:spacing w:after="0" w:line="101" w:lineRule="exact"/>
        <w:rPr>
          <w:sz w:val="20"/>
          <w:szCs w:val="20"/>
          <w:color w:val="auto"/>
        </w:rPr>
      </w:pPr>
    </w:p>
    <w:p>
      <w:pPr>
        <w:ind w:firstLine="402"/>
        <w:spacing w:after="0" w:line="255" w:lineRule="auto"/>
        <w:rPr>
          <w:sz w:val="20"/>
          <w:szCs w:val="20"/>
          <w:color w:val="auto"/>
        </w:rPr>
      </w:pPr>
      <w:r>
        <w:rPr>
          <w:rFonts w:ascii="Arial" w:cs="Arial" w:eastAsia="Arial" w:hAnsi="Arial"/>
          <w:sz w:val="18"/>
          <w:szCs w:val="18"/>
          <w:color w:val="auto"/>
        </w:rPr>
        <w:t>We are a party to various proceedings and matters involving employment, intellectual property, environmental, taxation, vehicle-related personal injury, and other laws. When it is probable, in management's judgment, that we may incur monetary damages or other costs resulting from these proceedings or other claims, and we can reasonably estimate the amounts, we record appropriate accruals in the financial statements and make charges against earnings. For all periods presented, we have recorded no material charges against earnings. Also, when it is reasonably possible that we may incur additional loss in excess of recorded accruals, and we can reasonably estimate the additional losses or range of losses, we disclose such additional reasonably possible losses in these notes.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Accruals and Reasonably Possible Losses in Excess of Accruals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Accruals for Probable Losses</w:t>
      </w:r>
    </w:p>
    <w:p>
      <w:pPr>
        <w:spacing w:after="0" w:line="99" w:lineRule="exact"/>
        <w:rPr>
          <w:sz w:val="20"/>
          <w:szCs w:val="20"/>
          <w:color w:val="auto"/>
        </w:rPr>
      </w:pPr>
    </w:p>
    <w:p>
      <w:pPr>
        <w:ind w:right="160" w:firstLine="402"/>
        <w:spacing w:after="0" w:line="254" w:lineRule="auto"/>
        <w:rPr>
          <w:sz w:val="20"/>
          <w:szCs w:val="20"/>
          <w:color w:val="auto"/>
        </w:rPr>
      </w:pPr>
      <w:r>
        <w:rPr>
          <w:rFonts w:ascii="Arial" w:cs="Arial" w:eastAsia="Arial" w:hAnsi="Arial"/>
          <w:sz w:val="18"/>
          <w:szCs w:val="18"/>
          <w:color w:val="auto"/>
        </w:rPr>
        <w:t xml:space="preserve">Although we deny liability in all currently threatened or pending legal proceedings, we have recorded a contingency accrual for our reasonable estimate of probable loss, in the aggregate, of $ 1.8, $1.4, and $1.4 at December 31, 2025, 2024, and 2023, respectively. There were no material adjustments to the accrual, including cash payments and expense, for each of the years ended December 31, 2025, 2024, and 2023, respectively. The accruals do not include accrued expenses related to workers' compensation, vehicle-related personal injury, product and general liability claims, taxation issues, and environmental matters, some of which may contain a portion of legal expense. However, any legal expense associated with these categories is not anticipated to have a material effect on our financial condition, results of operations, or cash flows. For more information regarding accrued expenses, see </w:t>
      </w:r>
      <w:r>
        <w:rPr>
          <w:rFonts w:ascii="Arial" w:cs="Arial" w:eastAsia="Arial" w:hAnsi="Arial"/>
          <w:sz w:val="18"/>
          <w:szCs w:val="18"/>
          <w:u w:val="single" w:color="auto"/>
          <w:color w:val="0000FF"/>
        </w:rPr>
        <w:t>Note I</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Reasonably Possible Losses in Excess of Accruals</w:t>
      </w:r>
    </w:p>
    <w:p>
      <w:pPr>
        <w:spacing w:after="0" w:line="86" w:lineRule="exact"/>
        <w:rPr>
          <w:sz w:val="20"/>
          <w:szCs w:val="20"/>
          <w:color w:val="auto"/>
        </w:rPr>
      </w:pPr>
    </w:p>
    <w:p>
      <w:pPr>
        <w:ind w:right="40" w:firstLine="402"/>
        <w:spacing w:after="0" w:line="254" w:lineRule="auto"/>
        <w:rPr>
          <w:sz w:val="20"/>
          <w:szCs w:val="20"/>
          <w:color w:val="auto"/>
        </w:rPr>
      </w:pPr>
      <w:r>
        <w:rPr>
          <w:rFonts w:ascii="Arial" w:cs="Arial" w:eastAsia="Arial" w:hAnsi="Arial"/>
          <w:sz w:val="18"/>
          <w:szCs w:val="18"/>
          <w:color w:val="auto"/>
        </w:rPr>
        <w:t>Although there are a number of uncertainties and potential outcomes associated with our pending or threatened legal proceedings, we believe, based on current known facts, that additional losses, if any, are not expected to materially affect our consolidated financial position, results of operations, or cash flows. However, based upon current known facts, as of December 31, 2025, aggregate reasonably possible (but not probable, and therefore not accrued) losses in excess of the accruals noted above are estimated to be $26.0. If our assumptions or analyses regarding any of our contingencies are incorrect, or if facts change or future litigation arises, we could realize losses in excess of the recorded accruals (including losses in excess of the $26.0 referenced above), which could have a material negative impact on our financial condition, results of operations,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U—Subsequent Events</w:t>
      </w:r>
    </w:p>
    <w:p>
      <w:pPr>
        <w:spacing w:after="0" w:line="88" w:lineRule="exact"/>
        <w:rPr>
          <w:sz w:val="20"/>
          <w:szCs w:val="20"/>
          <w:color w:val="auto"/>
        </w:rPr>
      </w:pPr>
    </w:p>
    <w:p>
      <w:pPr>
        <w:ind w:right="20" w:firstLine="402"/>
        <w:spacing w:after="0" w:line="253" w:lineRule="auto"/>
        <w:rPr>
          <w:sz w:val="20"/>
          <w:szCs w:val="20"/>
          <w:color w:val="auto"/>
        </w:rPr>
      </w:pPr>
      <w:r>
        <w:rPr>
          <w:rFonts w:ascii="Arial" w:cs="Arial" w:eastAsia="Arial" w:hAnsi="Arial"/>
          <w:sz w:val="18"/>
          <w:szCs w:val="18"/>
          <w:color w:val="auto"/>
        </w:rPr>
        <w:t>In December 2025, we announced the Company received an unsolicited proposal from Somnigroup International Inc. (Somnigroup) to acquire the Company in an all-stock transaction. In January 2026, our Board of Directors, in consultation with its financial and legal advisors, announced that it had determined that the Somnigroup offer undervalues the Company and publicly declined the Somnigroup proposal. Our Board also publicly announced that it has entered into a customary non-disclosure agreement and six month standstill with Somnigroup to facilitate customary due diligence and to determine if a transaction can be reached that delivers appropriate value and certainty to the Company and its shareholders. There can be no assurance that the Board's evaluation will result in a transaction and, if there is a transaction, the price, form of consideration, or other terms and conditions of any such transaction. We incurred $3.4 of professional costs associated with this activity through December 31, 2025.</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LEGGETT &amp; PLATT, INCORPORATED</w:t>
      </w:r>
    </w:p>
    <w:p>
      <w:pPr>
        <w:spacing w:after="0" w:line="8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(Amounts in millions)</w:t>
      </w:r>
    </w:p>
    <w:p>
      <w:pPr>
        <w:spacing w:after="0" w:line="37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48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99"/>
              </w:rPr>
              <w:t>Column A</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Column B</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Column C</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w w:val="99"/>
              </w:rPr>
              <w:t>Column 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Column E</w:t>
            </w:r>
          </w:p>
        </w:tc>
        <w:tc>
          <w:tcPr>
            <w:tcW w:w="0" w:type="dxa"/>
            <w:vAlign w:val="bottom"/>
          </w:tcPr>
          <w:p>
            <w:pPr>
              <w:spacing w:after="0"/>
              <w:rPr>
                <w:sz w:val="1"/>
                <w:szCs w:val="1"/>
                <w:color w:val="auto"/>
              </w:rPr>
            </w:pPr>
          </w:p>
        </w:tc>
      </w:tr>
      <w:tr>
        <w:trPr>
          <w:trHeight w:val="181"/>
        </w:trPr>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Additions</w:t>
            </w:r>
          </w:p>
        </w:tc>
        <w:tc>
          <w:tcPr>
            <w:tcW w:w="20" w:type="dxa"/>
            <w:vAlign w:val="bottom"/>
            <w:tcBorders>
              <w:top w:val="single" w:sz="8" w:color="auto"/>
            </w:tcBorders>
          </w:tcPr>
          <w:p>
            <w:pPr>
              <w:spacing w:after="0"/>
              <w:rPr>
                <w:sz w:val="15"/>
                <w:szCs w:val="15"/>
                <w:color w:val="auto"/>
              </w:rPr>
            </w:pPr>
          </w:p>
        </w:tc>
        <w:tc>
          <w:tcPr>
            <w:tcW w:w="48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3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3"/>
        </w:trPr>
        <w:tc>
          <w:tcPr>
            <w:tcW w:w="1700" w:type="dxa"/>
            <w:vAlign w:val="bottom"/>
          </w:tcPr>
          <w:p>
            <w:pPr>
              <w:spacing w:after="0"/>
              <w:rPr>
                <w:sz w:val="12"/>
                <w:szCs w:val="12"/>
                <w:color w:val="auto"/>
              </w:rPr>
            </w:pPr>
          </w:p>
        </w:tc>
        <w:tc>
          <w:tcPr>
            <w:tcW w:w="2480" w:type="dxa"/>
            <w:vAlign w:val="bottom"/>
            <w:gridSpan w:val="4"/>
            <w:vMerge w:val="restart"/>
          </w:tcPr>
          <w:p>
            <w:pPr>
              <w:jc w:val="center"/>
              <w:ind w:right="170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20"/>
              <w:spacing w:after="0" w:line="143" w:lineRule="exact"/>
              <w:rPr>
                <w:sz w:val="20"/>
                <w:szCs w:val="20"/>
                <w:color w:val="auto"/>
              </w:rPr>
            </w:pPr>
            <w:r>
              <w:rPr>
                <w:rFonts w:ascii="Arial" w:cs="Arial" w:eastAsia="Arial" w:hAnsi="Arial"/>
                <w:sz w:val="14"/>
                <w:szCs w:val="14"/>
                <w:b w:val="1"/>
                <w:bCs w:val="1"/>
                <w:color w:val="auto"/>
              </w:rPr>
              <w:t>cost and</w:t>
            </w:r>
          </w:p>
        </w:tc>
        <w:tc>
          <w:tcPr>
            <w:tcW w:w="240" w:type="dxa"/>
            <w:vAlign w:val="bottom"/>
          </w:tcPr>
          <w:p>
            <w:pPr>
              <w:spacing w:after="0"/>
              <w:rPr>
                <w:sz w:val="12"/>
                <w:szCs w:val="12"/>
                <w:color w:val="auto"/>
              </w:rPr>
            </w:pPr>
          </w:p>
        </w:tc>
        <w:tc>
          <w:tcPr>
            <w:tcW w:w="126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9"/>
              </w:rPr>
              <w:t>end of</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580" w:type="dxa"/>
            <w:vAlign w:val="bottom"/>
            <w:gridSpan w:val="5"/>
          </w:tcPr>
          <w:p>
            <w:pPr>
              <w:jc w:val="right"/>
              <w:ind w:right="180"/>
              <w:spacing w:after="0" w:line="128" w:lineRule="exact"/>
              <w:rPr>
                <w:sz w:val="20"/>
                <w:szCs w:val="20"/>
                <w:color w:val="auto"/>
              </w:rPr>
            </w:pPr>
            <w:r>
              <w:rPr>
                <w:rFonts w:ascii="Arial" w:cs="Arial" w:eastAsia="Arial" w:hAnsi="Arial"/>
                <w:sz w:val="14"/>
                <w:szCs w:val="14"/>
                <w:b w:val="1"/>
                <w:bCs w:val="1"/>
                <w:color w:val="auto"/>
              </w:rPr>
              <w:t>beginning of period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20"/>
              <w:spacing w:after="0" w:line="128"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20"/>
              <w:spacing w:after="0" w:line="128"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ind w:left="20"/>
              <w:spacing w:after="0"/>
              <w:rPr>
                <w:sz w:val="20"/>
                <w:szCs w:val="20"/>
                <w:color w:val="auto"/>
              </w:rPr>
            </w:pPr>
            <w:r>
              <w:rPr>
                <w:rFonts w:ascii="Arial" w:cs="Arial" w:eastAsia="Arial" w:hAnsi="Arial"/>
                <w:sz w:val="18"/>
                <w:szCs w:val="18"/>
                <w:b w:val="1"/>
                <w:bCs w:val="1"/>
                <w:color w:val="auto"/>
              </w:rPr>
              <w:t>Allowance for doubtful receivables</w:t>
            </w:r>
          </w:p>
        </w:tc>
        <w:tc>
          <w:tcPr>
            <w:tcW w:w="240" w:type="dxa"/>
            <w:vAlign w:val="bottom"/>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2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ind w:left="20"/>
              <w:spacing w:after="0"/>
              <w:rPr>
                <w:sz w:val="20"/>
                <w:szCs w:val="20"/>
                <w:color w:val="auto"/>
              </w:rPr>
            </w:pPr>
            <w:r>
              <w:rPr>
                <w:rFonts w:ascii="Arial" w:cs="Arial" w:eastAsia="Arial" w:hAnsi="Arial"/>
                <w:sz w:val="18"/>
                <w:szCs w:val="18"/>
                <w:color w:val="auto"/>
              </w:rPr>
              <w:t>Allowance for doubtful receivables</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Tax valuation allowance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68"/>
        </w:trPr>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gridSpan w:val="5"/>
          </w:tcPr>
          <w:p>
            <w:pPr>
              <w:ind w:left="20"/>
              <w:spacing w:after="0"/>
              <w:rPr>
                <w:sz w:val="20"/>
                <w:szCs w:val="20"/>
                <w:color w:val="auto"/>
              </w:rPr>
            </w:pPr>
            <w:r>
              <w:rPr>
                <w:rFonts w:ascii="Arial" w:cs="Arial" w:eastAsia="Arial" w:hAnsi="Arial"/>
                <w:sz w:val="18"/>
                <w:szCs w:val="18"/>
                <w:color w:val="auto"/>
              </w:rPr>
              <w:t>Allowance for doubtful receivables</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8"/>
        </w:trPr>
        <w:tc>
          <w:tcPr>
            <w:tcW w:w="41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Tax valuation allowance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980" w:right="140" w:hanging="168"/>
        <w:spacing w:after="0" w:line="204" w:lineRule="auto"/>
        <w:tabs>
          <w:tab w:leader="none" w:pos="977" w:val="left"/>
        </w:tabs>
        <w:numPr>
          <w:ilvl w:val="0"/>
          <w:numId w:val="89"/>
        </w:numPr>
        <w:rPr>
          <w:rFonts w:ascii="Arial" w:cs="Arial" w:eastAsia="Arial" w:hAnsi="Arial"/>
          <w:sz w:val="28"/>
          <w:szCs w:val="28"/>
          <w:b w:val="1"/>
          <w:bCs w:val="1"/>
          <w:color w:val="auto"/>
          <w:vertAlign w:val="superscript"/>
        </w:rPr>
      </w:pPr>
      <w:r>
        <w:rPr>
          <w:rFonts w:ascii="Arial" w:cs="Arial" w:eastAsia="Arial" w:hAnsi="Arial"/>
          <w:sz w:val="18"/>
          <w:szCs w:val="18"/>
          <w:color w:val="auto"/>
        </w:rPr>
        <w:t>Uncollectible accounts charged off, net of recoveries. The 2023 deduction includes $20.5 for a charge-off of a non-trade note receivable that was fully reserved in prior years.</w:t>
      </w: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443"/>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40" w:type="dxa"/>
            <w:vAlign w:val="bottom"/>
            <w:gridSpan w:val="10"/>
          </w:tcPr>
          <w:p>
            <w:pPr>
              <w:ind w:left="2480"/>
              <w:spacing w:after="0"/>
              <w:rPr>
                <w:sz w:val="20"/>
                <w:szCs w:val="20"/>
                <w:color w:val="auto"/>
              </w:rPr>
            </w:pPr>
            <w:r>
              <w:rPr>
                <w:rFonts w:ascii="Arial" w:cs="Arial" w:eastAsia="Arial" w:hAnsi="Arial"/>
                <w:sz w:val="32"/>
                <w:szCs w:val="32"/>
                <w:b w:val="1"/>
                <w:bCs w:val="1"/>
                <w:color w:val="auto"/>
              </w:rPr>
              <w:t>EXHIBIT INDEX</w:t>
            </w:r>
          </w:p>
        </w:tc>
      </w:tr>
      <w:tr>
        <w:trPr>
          <w:trHeight w:val="470"/>
        </w:trPr>
        <w:tc>
          <w:tcPr>
            <w:tcW w:w="230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3140" w:type="dxa"/>
            <w:vAlign w:val="bottom"/>
          </w:tcPr>
          <w:p>
            <w:pPr>
              <w:spacing w:after="0"/>
              <w:rPr>
                <w:sz w:val="24"/>
                <w:szCs w:val="24"/>
                <w:color w:val="auto"/>
              </w:rPr>
            </w:pPr>
          </w:p>
        </w:tc>
        <w:tc>
          <w:tcPr>
            <w:tcW w:w="5800" w:type="dxa"/>
            <w:vAlign w:val="bottom"/>
            <w:gridSpan w:val="9"/>
          </w:tcPr>
          <w:p>
            <w:pPr>
              <w:ind w:left="180"/>
              <w:spacing w:after="0"/>
              <w:rPr>
                <w:sz w:val="20"/>
                <w:szCs w:val="20"/>
                <w:color w:val="auto"/>
              </w:rPr>
            </w:pPr>
            <w:r>
              <w:rPr>
                <w:rFonts w:ascii="Arial" w:cs="Arial" w:eastAsia="Arial" w:hAnsi="Arial"/>
                <w:sz w:val="21"/>
                <w:szCs w:val="21"/>
                <w:b w:val="1"/>
                <w:bCs w:val="1"/>
                <w:color w:val="auto"/>
              </w:rPr>
              <w:t>Document Description</w:t>
            </w:r>
          </w:p>
        </w:tc>
      </w:tr>
      <w:tr>
        <w:trPr>
          <w:trHeight w:val="181"/>
        </w:trPr>
        <w:tc>
          <w:tcPr>
            <w:tcW w:w="166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8"/>
                <w:szCs w:val="18"/>
                <w:color w:val="auto"/>
              </w:rPr>
              <w:t>2.1****</w:t>
            </w:r>
          </w:p>
        </w:tc>
        <w:tc>
          <w:tcPr>
            <w:tcW w:w="640" w:type="dxa"/>
            <w:vAlign w:val="bottom"/>
            <w:tcBorders>
              <w:top w:val="single" w:sz="8" w:color="CCEEFF"/>
              <w:right w:val="single" w:sz="8" w:color="CCEEFF"/>
            </w:tcBorders>
            <w:shd w:val="clear" w:color="auto" w:fill="CCEEFF"/>
          </w:tcPr>
          <w:p>
            <w:pPr>
              <w:spacing w:after="0"/>
              <w:rPr>
                <w:sz w:val="15"/>
                <w:szCs w:val="15"/>
                <w:color w:val="auto"/>
              </w:rPr>
            </w:pPr>
          </w:p>
        </w:tc>
        <w:tc>
          <w:tcPr>
            <w:tcW w:w="8940" w:type="dxa"/>
            <w:vAlign w:val="bottom"/>
            <w:tcBorders>
              <w:top w:val="single" w:sz="8" w:color="auto"/>
            </w:tcBorders>
            <w:gridSpan w:val="10"/>
            <w:shd w:val="clear" w:color="auto" w:fill="CCEEFF"/>
          </w:tcPr>
          <w:p>
            <w:pPr>
              <w:spacing w:after="0" w:line="181" w:lineRule="exact"/>
              <w:rPr>
                <w:rFonts w:ascii="Arial" w:cs="Arial" w:eastAsia="Arial" w:hAnsi="Arial"/>
                <w:sz w:val="18"/>
                <w:szCs w:val="18"/>
                <w:color w:val="0000FF"/>
              </w:rPr>
            </w:pPr>
            <w:hyperlink r:id="rId169">
              <w:r>
                <w:rPr>
                  <w:rFonts w:ascii="Arial" w:cs="Arial" w:eastAsia="Arial" w:hAnsi="Arial"/>
                  <w:sz w:val="18"/>
                  <w:szCs w:val="18"/>
                  <w:color w:val="0000FF"/>
                </w:rPr>
                <w:t>Share Purchase Agreement by and between Leggett &amp; Platt, Incorporated, Flow Intermediate II, LLC and Flow</w:t>
              </w:r>
            </w:hyperlink>
          </w:p>
        </w:tc>
      </w:tr>
      <w:tr>
        <w:trPr>
          <w:trHeight w:val="168"/>
        </w:trPr>
        <w:tc>
          <w:tcPr>
            <w:tcW w:w="16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right w:val="single" w:sz="8" w:color="CCEEFF"/>
            </w:tcBorders>
            <w:shd w:val="clear" w:color="auto" w:fill="CCEEFF"/>
          </w:tcPr>
          <w:p>
            <w:pPr>
              <w:spacing w:after="0"/>
              <w:rPr>
                <w:sz w:val="14"/>
                <w:szCs w:val="14"/>
                <w:color w:val="auto"/>
              </w:rPr>
            </w:pPr>
          </w:p>
        </w:tc>
        <w:tc>
          <w:tcPr>
            <w:tcW w:w="8700" w:type="dxa"/>
            <w:vAlign w:val="bottom"/>
            <w:tcBorders>
              <w:top w:val="single" w:sz="8" w:color="0000FF"/>
            </w:tcBorders>
            <w:gridSpan w:val="6"/>
            <w:shd w:val="clear" w:color="auto" w:fill="CCEEFF"/>
          </w:tcPr>
          <w:p>
            <w:pPr>
              <w:spacing w:after="0" w:line="168" w:lineRule="exact"/>
              <w:rPr>
                <w:rFonts w:ascii="Arial" w:cs="Arial" w:eastAsia="Arial" w:hAnsi="Arial"/>
                <w:sz w:val="18"/>
                <w:szCs w:val="18"/>
                <w:color w:val="0000FF"/>
              </w:rPr>
            </w:pPr>
            <w:hyperlink r:id="rId169">
              <w:r>
                <w:rPr>
                  <w:rFonts w:ascii="Arial" w:cs="Arial" w:eastAsia="Arial" w:hAnsi="Arial"/>
                  <w:sz w:val="18"/>
                  <w:szCs w:val="18"/>
                  <w:color w:val="0000FF"/>
                </w:rPr>
                <w:t>UK Holdco, Limited dated April 2, 2025, filed April 2, 2025 as Exhibit 2.1 to the Company's Form 8-K, is</w:t>
              </w:r>
            </w:hyperlink>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CCEEFF"/>
            </w:tcBorders>
            <w:shd w:val="clear" w:color="auto" w:fill="CCEEFF"/>
          </w:tcPr>
          <w:p>
            <w:pPr>
              <w:spacing w:after="0"/>
              <w:rPr>
                <w:sz w:val="13"/>
                <w:szCs w:val="13"/>
                <w:color w:val="auto"/>
              </w:rPr>
            </w:pPr>
          </w:p>
        </w:tc>
        <w:tc>
          <w:tcPr>
            <w:tcW w:w="8120" w:type="dxa"/>
            <w:vAlign w:val="bottom"/>
            <w:tcBorders>
              <w:top w:val="single" w:sz="8" w:color="0000FF"/>
            </w:tcBorders>
            <w:gridSpan w:val="3"/>
            <w:shd w:val="clear" w:color="auto" w:fill="CCEEFF"/>
          </w:tcPr>
          <w:p>
            <w:pPr>
              <w:spacing w:after="0" w:line="154" w:lineRule="exact"/>
              <w:rPr>
                <w:rFonts w:ascii="Arial" w:cs="Arial" w:eastAsia="Arial" w:hAnsi="Arial"/>
                <w:sz w:val="17"/>
                <w:szCs w:val="17"/>
                <w:color w:val="0000FF"/>
              </w:rPr>
            </w:pPr>
            <w:hyperlink r:id="rId169">
              <w:r>
                <w:rPr>
                  <w:rFonts w:ascii="Arial" w:cs="Arial" w:eastAsia="Arial" w:hAnsi="Arial"/>
                  <w:sz w:val="17"/>
                  <w:szCs w:val="17"/>
                  <w:color w:val="0000FF"/>
                </w:rPr>
                <w:t>incorporated herein by reference. (SEC File No. 001-07845)</w:t>
              </w:r>
            </w:hyperlink>
          </w:p>
        </w:tc>
        <w:tc>
          <w:tcPr>
            <w:tcW w:w="3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20"/>
        </w:trPr>
        <w:tc>
          <w:tcPr>
            <w:tcW w:w="1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2.2****</w:t>
            </w:r>
          </w:p>
        </w:tc>
        <w:tc>
          <w:tcPr>
            <w:tcW w:w="640" w:type="dxa"/>
            <w:vAlign w:val="bottom"/>
          </w:tcPr>
          <w:p>
            <w:pPr>
              <w:spacing w:after="0"/>
              <w:rPr>
                <w:sz w:val="16"/>
                <w:szCs w:val="16"/>
                <w:color w:val="auto"/>
              </w:rPr>
            </w:pPr>
          </w:p>
        </w:tc>
        <w:tc>
          <w:tcPr>
            <w:tcW w:w="8940" w:type="dxa"/>
            <w:vAlign w:val="bottom"/>
            <w:gridSpan w:val="10"/>
          </w:tcPr>
          <w:p>
            <w:pPr>
              <w:spacing w:after="0" w:line="188"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First Amendment to Share Purchase Agreement by and between Leggett &amp; Platt, Incorporated, Flow UK Holdco,</w:t>
              </w:r>
            </w:hyperlink>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60" w:type="dxa"/>
            <w:vAlign w:val="bottom"/>
            <w:tcBorders>
              <w:top w:val="single" w:sz="8" w:color="0000FF"/>
              <w:bottom w:val="single" w:sz="8" w:color="0000FF"/>
            </w:tcBorders>
            <w:gridSpan w:val="8"/>
          </w:tcPr>
          <w:p>
            <w:pPr>
              <w:spacing w:after="0" w:line="168"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Limited, Flow Intermediate II, LLC and Flow France Holdings SAS dated August 29, 2025, filed October 31, 2025</w:t>
              </w:r>
            </w:hyperlink>
          </w:p>
        </w:tc>
        <w:tc>
          <w:tcPr>
            <w:tcW w:w="4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00" w:type="dxa"/>
            <w:vAlign w:val="bottom"/>
            <w:gridSpan w:val="9"/>
          </w:tcPr>
          <w:p>
            <w:pPr>
              <w:spacing w:after="0" w:line="154" w:lineRule="exact"/>
              <w:rPr>
                <w:rFonts w:ascii="Arial" w:cs="Arial" w:eastAsia="Arial" w:hAnsi="Arial"/>
                <w:sz w:val="17"/>
                <w:szCs w:val="17"/>
                <w:color w:val="0000FF"/>
              </w:rPr>
            </w:pPr>
            <w:hyperlink r:id="rId170">
              <w:r>
                <w:rPr>
                  <w:rFonts w:ascii="Arial" w:cs="Arial" w:eastAsia="Arial" w:hAnsi="Arial"/>
                  <w:sz w:val="17"/>
                  <w:szCs w:val="17"/>
                  <w:color w:val="0000FF"/>
                </w:rPr>
                <w:t>as Exhibit 2.2 to the Company’s Form 10-Q, is incorporated herein by reference. (SEC File No. 001-07845)</w:t>
              </w:r>
            </w:hyperlink>
          </w:p>
        </w:tc>
        <w:tc>
          <w:tcPr>
            <w:tcW w:w="40" w:type="dxa"/>
            <w:vAlign w:val="bottom"/>
          </w:tcPr>
          <w:p>
            <w:pPr>
              <w:spacing w:after="0"/>
              <w:rPr>
                <w:sz w:val="13"/>
                <w:szCs w:val="13"/>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3.1</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10"/>
            <w:shd w:val="clear" w:color="auto" w:fill="CCEEFF"/>
          </w:tcPr>
          <w:p>
            <w:pPr>
              <w:spacing w:after="0" w:line="188" w:lineRule="exact"/>
              <w:rPr>
                <w:rFonts w:ascii="Arial" w:cs="Arial" w:eastAsia="Arial" w:hAnsi="Arial"/>
                <w:sz w:val="18"/>
                <w:szCs w:val="18"/>
                <w:color w:val="0000FF"/>
              </w:rPr>
            </w:pPr>
            <w:hyperlink r:id="rId171">
              <w:r>
                <w:rPr>
                  <w:rFonts w:ascii="Arial" w:cs="Arial" w:eastAsia="Arial" w:hAnsi="Arial"/>
                  <w:sz w:val="18"/>
                  <w:szCs w:val="18"/>
                  <w:color w:val="0000FF"/>
                </w:rPr>
                <w:t>Restated Articles of Incorporation of the Company as of May 13, 1987, with Amendments dated May 12, 1993</w:t>
              </w:r>
            </w:hyperlink>
          </w:p>
        </w:tc>
      </w:tr>
      <w:tr>
        <w:trPr>
          <w:trHeight w:val="20"/>
        </w:trPr>
        <w:tc>
          <w:tcPr>
            <w:tcW w:w="16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52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r>
      <w:tr>
        <w:trPr>
          <w:trHeight w:val="168"/>
        </w:trPr>
        <w:tc>
          <w:tcPr>
            <w:tcW w:w="16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8940" w:type="dxa"/>
            <w:vAlign w:val="bottom"/>
            <w:gridSpan w:val="10"/>
            <w:shd w:val="clear" w:color="auto" w:fill="CCEEFF"/>
          </w:tcPr>
          <w:p>
            <w:pPr>
              <w:spacing w:after="0" w:line="168" w:lineRule="exact"/>
              <w:rPr>
                <w:rFonts w:ascii="Arial" w:cs="Arial" w:eastAsia="Arial" w:hAnsi="Arial"/>
                <w:sz w:val="18"/>
                <w:szCs w:val="18"/>
                <w:color w:val="0000FF"/>
              </w:rPr>
            </w:pPr>
            <w:hyperlink r:id="rId171">
              <w:r>
                <w:rPr>
                  <w:rFonts w:ascii="Arial" w:cs="Arial" w:eastAsia="Arial" w:hAnsi="Arial"/>
                  <w:sz w:val="18"/>
                  <w:szCs w:val="18"/>
                  <w:color w:val="0000FF"/>
                </w:rPr>
                <w:t>and May 20, 1999; filed November 7, 2024 as Exhibit 3.1.1 to the Company's Form 10-Q, is incorporated herein</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7"/>
            <w:shd w:val="clear" w:color="auto" w:fill="CCEEFF"/>
          </w:tcPr>
          <w:p>
            <w:pPr>
              <w:spacing w:after="0" w:line="154" w:lineRule="exact"/>
              <w:rPr>
                <w:rFonts w:ascii="Arial" w:cs="Arial" w:eastAsia="Arial" w:hAnsi="Arial"/>
                <w:sz w:val="17"/>
                <w:szCs w:val="17"/>
                <w:color w:val="0000FF"/>
              </w:rPr>
            </w:pPr>
            <w:hyperlink r:id="rId171">
              <w:r>
                <w:rPr>
                  <w:rFonts w:ascii="Arial" w:cs="Arial" w:eastAsia="Arial" w:hAnsi="Arial"/>
                  <w:sz w:val="17"/>
                  <w:szCs w:val="17"/>
                  <w:color w:val="0000FF"/>
                </w:rPr>
                <w:t>by reference. (SEC File No. 001-07845)</w:t>
              </w:r>
            </w:hyperlink>
          </w:p>
        </w:tc>
        <w:tc>
          <w:tcPr>
            <w:tcW w:w="140" w:type="dxa"/>
            <w:vAlign w:val="bottom"/>
            <w:tcBorders>
              <w:top w:val="single" w:sz="8" w:color="CCEEFF"/>
            </w:tcBorders>
            <w:gridSpan w:val="3"/>
            <w:shd w:val="clear" w:color="auto" w:fill="CCEEFF"/>
          </w:tcPr>
          <w:p>
            <w:pPr>
              <w:spacing w:after="0"/>
              <w:rPr>
                <w:sz w:val="13"/>
                <w:szCs w:val="13"/>
                <w:color w:val="auto"/>
              </w:rPr>
            </w:pPr>
          </w:p>
        </w:tc>
      </w:tr>
      <w:tr>
        <w:trPr>
          <w:trHeight w:val="20"/>
        </w:trPr>
        <w:tc>
          <w:tcPr>
            <w:tcW w:w="1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3.2</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20"/>
        <w:spacing w:after="0" w:line="237"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Bylaws of the Company, as amended through November 5, 2024, filed November 7, 2024 as Exhibit 3.2.2 to the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Company’s Form 10-Q, is incorporated herein by reference. (SEC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0</wp:posOffset>
            </wp:positionV>
            <wp:extent cx="7133590" cy="264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3590" cy="264160"/>
                    </a:xfrm>
                    <a:prstGeom prst="rect">
                      <a:avLst/>
                    </a:prstGeom>
                    <a:noFill/>
                  </pic:spPr>
                </pic:pic>
              </a:graphicData>
            </a:graphic>
          </wp:anchor>
        </w:drawing>
      </w:r>
    </w:p>
    <w:p>
      <w:pPr>
        <w:ind w:right="70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Article III of the Company’s Restated Articles of Incorporation, as amended, filed as Exhibit 3.1 hereto, is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incorporated herein by reference.</w:t>
        </w:r>
      </w:hyperlink>
    </w:p>
    <w:p>
      <w:pPr>
        <w:spacing w:after="0" w:line="2" w:lineRule="exact"/>
        <w:rPr>
          <w:sz w:val="20"/>
          <w:szCs w:val="20"/>
          <w:color w:val="auto"/>
        </w:rPr>
      </w:pPr>
    </w:p>
    <w:p>
      <w:pPr>
        <w:spacing w:after="0"/>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Senior Indenture dated May 6, 2005 between the Company and U.S. Bank Trust Company, National Association</w:t>
        </w:r>
      </w:hyperlink>
    </w:p>
    <w:p>
      <w:pPr>
        <w:spacing w:after="0" w:line="2" w:lineRule="exact"/>
        <w:rPr>
          <w:sz w:val="20"/>
          <w:szCs w:val="20"/>
          <w:color w:val="auto"/>
        </w:rPr>
      </w:pPr>
    </w:p>
    <w:p>
      <w:pPr>
        <w:ind w:right="260"/>
        <w:spacing w:after="0" w:line="218"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(successor in interest to The Bank of New York Mellon Trust Company, NA, which was successor in interest to</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JPMorgan Chase Bank, N.A.), as Trustee, filed May 10, 2005 as Exhibit 4.1 to the Company’s Form 8-K, is</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incorporated herein by reference. (SEC File No. 001-07845)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-1455420</wp:posOffset>
            </wp:positionH>
            <wp:positionV relativeFrom="paragraph">
              <wp:posOffset>0</wp:posOffset>
            </wp:positionV>
            <wp:extent cx="7133590" cy="6045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3590" cy="604520"/>
                    </a:xfrm>
                    <a:prstGeom prst="rect">
                      <a:avLst/>
                    </a:prstGeom>
                    <a:noFill/>
                  </pic:spPr>
                </pic:pic>
              </a:graphicData>
            </a:graphic>
          </wp:anchor>
        </w:drawing>
      </w:r>
    </w:p>
    <w:p>
      <w:pPr>
        <w:spacing w:after="0" w:line="231"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Tri-Party Agreement under the May 6, 2005 Senior Indenture, between the Company, The Bank of New York</w:t>
        </w:r>
      </w:hyperlink>
    </w:p>
    <w:p>
      <w:pPr>
        <w:spacing w:after="0" w:line="1" w:lineRule="exact"/>
        <w:rPr>
          <w:rFonts w:ascii="Arial" w:cs="Arial" w:eastAsia="Arial" w:hAnsi="Arial"/>
          <w:sz w:val="18"/>
          <w:szCs w:val="18"/>
          <w:u w:val="single" w:color="auto"/>
          <w:color w:val="0000FF"/>
        </w:rPr>
      </w:pPr>
    </w:p>
    <w:p>
      <w:pPr>
        <w:ind w:right="180"/>
        <w:spacing w:after="0" w:line="219" w:lineRule="auto"/>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Mellon Trust Company, NA (successor in interest to JPMorgan Chase Bank, N.A.) (as Prior Trustee) and U.S.</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Bank, National Association (now U.S. Bank Trust Company, National Association as Successor Trustee), dated</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February 20, 2009, filed February 25, 2009 as Exhibit 4.3.1 to the Company’s Form 10-K for the year ended</w:t>
        </w:r>
      </w:hyperlink>
    </w:p>
    <w:p>
      <w:pPr>
        <w:spacing w:after="0" w:line="1" w:lineRule="exact"/>
        <w:rPr>
          <w:rFonts w:ascii="Arial" w:cs="Arial" w:eastAsia="Arial" w:hAnsi="Arial"/>
          <w:sz w:val="17"/>
          <w:szCs w:val="17"/>
          <w:u w:val="single" w:color="auto"/>
          <w:color w:val="0000FF"/>
        </w:rPr>
      </w:pPr>
    </w:p>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December 31, 2008, is incorporated herein by reference. (SEC File No. 001-07845)</w:t>
        </w:r>
      </w:hyperlink>
    </w:p>
    <w:p>
      <w:pPr>
        <w:spacing w:after="0" w:line="2" w:lineRule="exact"/>
        <w:rPr>
          <w:rFonts w:ascii="Arial" w:cs="Arial" w:eastAsia="Arial" w:hAnsi="Arial"/>
          <w:sz w:val="17"/>
          <w:szCs w:val="17"/>
          <w:u w:val="single" w:color="auto"/>
          <w:color w:val="0000FF"/>
        </w:rPr>
      </w:pPr>
    </w:p>
    <w:p>
      <w:pPr>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Form of $500,000,000 3.50% Senior Notes due 2051 issued pursuant to the Senior Indenture dated May 6,</w:t>
        </w:r>
      </w:hyperlink>
    </w:p>
    <w:p>
      <w:pPr>
        <w:ind w:right="240"/>
        <w:spacing w:after="0" w:line="227"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2005, filed November 19, 2021 as Exhibit 4.3 to the Company’s Form 8-K, is incorporated herein by reference.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-635</wp:posOffset>
            </wp:positionV>
            <wp:extent cx="7133590" cy="400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3590" cy="400050"/>
                    </a:xfrm>
                    <a:prstGeom prst="rect">
                      <a:avLst/>
                    </a:prstGeom>
                    <a:noFill/>
                  </pic:spPr>
                </pic:pic>
              </a:graphicData>
            </a:graphic>
          </wp:anchor>
        </w:drawing>
      </w:r>
    </w:p>
    <w:p>
      <w:pPr>
        <w:spacing w:after="0" w:line="13" w:lineRule="exact"/>
        <w:rPr>
          <w:sz w:val="20"/>
          <w:szCs w:val="20"/>
          <w:color w:val="auto"/>
        </w:rPr>
      </w:pPr>
    </w:p>
    <w:p>
      <w:pPr>
        <w:ind w:right="200"/>
        <w:spacing w:after="0" w:line="233" w:lineRule="auto"/>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Form of $500,000,000 4.40% Senior Notes due 2029 issued pursuant to the Senior Indenture dated May 6,</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2005, filed March 7, 2019 as Exhibit 4.3 to the Company’s Form 8-K, is incorporated herein by reference. (SEC</w:t>
        </w:r>
      </w:hyperlink>
    </w:p>
    <w:p>
      <w:pPr>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File No. 001-07845)</w:t>
        </w:r>
      </w:hyperlink>
    </w:p>
    <w:p>
      <w:pPr>
        <w:spacing w:after="0" w:line="43" w:lineRule="exact"/>
        <w:rPr>
          <w:sz w:val="20"/>
          <w:szCs w:val="20"/>
          <w:color w:val="auto"/>
        </w:rPr>
      </w:pPr>
    </w:p>
    <w:p>
      <w:pPr>
        <w:ind w:right="240"/>
        <w:spacing w:after="0" w:line="233" w:lineRule="auto"/>
        <w:rPr>
          <w:rFonts w:ascii="Arial" w:cs="Arial" w:eastAsia="Arial" w:hAnsi="Arial"/>
          <w:sz w:val="17"/>
          <w:szCs w:val="17"/>
          <w:u w:val="single" w:color="auto"/>
          <w:color w:val="0000FF"/>
        </w:rPr>
      </w:pPr>
      <w:hyperlink r:id="rId180">
        <w:r>
          <w:rPr>
            <w:rFonts w:ascii="Arial" w:cs="Arial" w:eastAsia="Arial" w:hAnsi="Arial"/>
            <w:sz w:val="17"/>
            <w:szCs w:val="17"/>
            <w:u w:val="single" w:color="auto"/>
            <w:color w:val="0000FF"/>
          </w:rPr>
          <w:t>Form of $500,000,000 3.50% Senior Notes due 2027 issued pursuant to the Senior Indenture dated May 6,</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2005, filed November 16, 2017 as Exhibit 4.3 to the Company’s Form 8-K, is incorporated herein by reference.</w:t>
        </w:r>
      </w:hyperlink>
    </w:p>
    <w:p>
      <w:pPr>
        <w:spacing w:after="0"/>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5080</wp:posOffset>
            </wp:positionV>
            <wp:extent cx="7133590" cy="3746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33590" cy="374650"/>
                    </a:xfrm>
                    <a:prstGeom prst="rect">
                      <a:avLst/>
                    </a:prstGeom>
                    <a:noFill/>
                  </pic:spPr>
                </pic:pic>
              </a:graphicData>
            </a:graphic>
          </wp:anchor>
        </w:drawing>
      </w:r>
    </w:p>
    <w:p>
      <w:pPr>
        <w:spacing w:after="0"/>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The Company’s Description of Capital Stock registered under Section 12 of the Securities Exchange Act of 1934,</w:t>
        </w:r>
      </w:hyperlink>
    </w:p>
    <w:p>
      <w:pPr>
        <w:spacing w:after="0" w:line="2" w:lineRule="exact"/>
        <w:rPr>
          <w:sz w:val="20"/>
          <w:szCs w:val="20"/>
          <w:color w:val="auto"/>
        </w:rPr>
      </w:pPr>
    </w:p>
    <w:p>
      <w:pPr>
        <w:ind w:right="280"/>
        <w:spacing w:after="0" w:line="227"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filed February 26, 2025 as Exhibit 4.6 to the Company's Form 10-K, is incorporated herein by reference. (SEC</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File No. 001-07845)</w:t>
        </w:r>
      </w:hyperlink>
    </w:p>
    <w:p>
      <w:pPr>
        <w:spacing w:after="0" w:line="229"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Form of Retention Bonus Award Agreement between the Company and a group of key management personnel,</w:t>
        </w:r>
      </w:hyperlink>
    </w:p>
    <w:p>
      <w:pPr>
        <w:spacing w:after="0" w:line="1" w:lineRule="exact"/>
        <w:rPr>
          <w:sz w:val="20"/>
          <w:szCs w:val="20"/>
          <w:color w:val="auto"/>
        </w:rPr>
      </w:pPr>
    </w:p>
    <w:p>
      <w:pPr>
        <w:ind w:right="160"/>
        <w:spacing w:after="0" w:line="227"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including select named executive officers, filed December 29, 2025 as Exhibit 10.1 to the Company’s Form 8-K,</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is incorporated herein by reference. (SEC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-635</wp:posOffset>
            </wp:positionV>
            <wp:extent cx="7133590" cy="3746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33590" cy="374650"/>
                    </a:xfrm>
                    <a:prstGeom prst="rect">
                      <a:avLst/>
                    </a:prstGeom>
                    <a:noFill/>
                  </pic:spPr>
                </pic:pic>
              </a:graphicData>
            </a:graphic>
          </wp:anchor>
        </w:drawing>
      </w:r>
    </w:p>
    <w:p>
      <w:pPr>
        <w:spacing w:after="0" w:line="66" w:lineRule="exact"/>
        <w:rPr>
          <w:sz w:val="20"/>
          <w:szCs w:val="20"/>
          <w:color w:val="auto"/>
        </w:rPr>
      </w:pPr>
    </w:p>
    <w:p>
      <w:pPr>
        <w:jc w:val="both"/>
        <w:ind w:right="80"/>
        <w:spacing w:after="0" w:line="263" w:lineRule="auto"/>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Severance Benefit Agreement between the Company and Karl G. Glassman, dated May 20, 2024, filed May 21,</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2024 as Exhibit 10.2 to the Company’s Form 8-K, is incorporated herein by reference. (SEC File No. 001-07845)</w:t>
        </w:r>
      </w:hyperlink>
    </w:p>
    <w:p>
      <w:pPr>
        <w:spacing w:after="0" w:line="68" w:lineRule="exact"/>
        <w:rPr>
          <w:sz w:val="20"/>
          <w:szCs w:val="20"/>
          <w:color w:val="auto"/>
        </w:rPr>
      </w:pPr>
    </w:p>
    <w:p>
      <w:pPr>
        <w:sectPr>
          <w:pgSz w:w="11900" w:h="16838" w:orient="portrait"/>
          <w:cols w:equalWidth="0" w:num="2">
            <w:col w:w="1580" w:space="720"/>
            <w:col w:w="89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10.3*</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320"/>
        <w:spacing w:after="0" w:line="233" w:lineRule="auto"/>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Severance Benefit Agreement between the Company and Benjamin M. Burns, dated February 22, 2023, filed</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June 22, 2023 as Exhibit 10.2 to the Company’s Form 8-K, is incorporated herein by reference. (SEC File No.</w:t>
        </w:r>
      </w:hyperlink>
    </w:p>
    <w:p>
      <w:pPr>
        <w:spacing w:after="0"/>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001-07845)</w:t>
        </w:r>
      </w:hyperlink>
    </w:p>
    <w:p>
      <w:pPr>
        <w:spacing w:after="0" w:line="83" w:lineRule="exact"/>
        <w:rPr>
          <w:sz w:val="20"/>
          <w:szCs w:val="20"/>
          <w:color w:val="auto"/>
        </w:rPr>
      </w:pPr>
    </w:p>
    <w:p>
      <w:pPr>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Severance Benefit Agreement between the Company and Jennifer J. Davis, dated January 1, 2024, filed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-127635</wp:posOffset>
            </wp:positionV>
            <wp:extent cx="7133590" cy="400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3590" cy="400050"/>
                    </a:xfrm>
                    <a:prstGeom prst="rect">
                      <a:avLst/>
                    </a:prstGeom>
                    <a:noFill/>
                  </pic:spPr>
                </pic:pic>
              </a:graphicData>
            </a:graphic>
          </wp:anchor>
        </w:drawing>
      </w:r>
    </w:p>
    <w:p>
      <w:pPr>
        <w:ind w:right="220"/>
        <w:spacing w:after="0" w:line="235"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February 26, 2025 as Exhibit 10.3 to the Company's Form 10-K, is incorporated herein by reference. (SEC File</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No. 001-07845)</w:t>
        </w:r>
      </w:hyperlink>
    </w:p>
    <w:p>
      <w:pPr>
        <w:spacing w:after="0" w:line="200" w:lineRule="exact"/>
        <w:rPr>
          <w:sz w:val="20"/>
          <w:szCs w:val="20"/>
          <w:color w:val="auto"/>
        </w:rPr>
      </w:pPr>
    </w:p>
    <w:p>
      <w:pPr>
        <w:sectPr>
          <w:pgSz w:w="11900" w:h="16838" w:orient="portrait"/>
          <w:cols w:equalWidth="0" w:num="2">
            <w:col w:w="1580" w:space="720"/>
            <w:col w:w="8940"/>
          </w:cols>
          <w:pgMar w:left="320" w:top="125" w:right="339"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0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40" w:type="dxa"/>
            <w:vAlign w:val="bottom"/>
            <w:gridSpan w:val="33"/>
          </w:tcPr>
          <w:p>
            <w:pPr>
              <w:ind w:left="420"/>
              <w:spacing w:after="0"/>
              <w:rPr>
                <w:sz w:val="20"/>
                <w:szCs w:val="20"/>
                <w:color w:val="auto"/>
              </w:rPr>
            </w:pPr>
            <w:r>
              <w:rPr>
                <w:rFonts w:ascii="Arial" w:cs="Arial" w:eastAsia="Arial" w:hAnsi="Arial"/>
                <w:sz w:val="21"/>
                <w:szCs w:val="21"/>
                <w:b w:val="1"/>
                <w:bCs w:val="1"/>
                <w:color w:val="auto"/>
              </w:rPr>
              <w:t>Document Description</w:t>
            </w:r>
          </w:p>
        </w:tc>
      </w:tr>
      <w:tr>
        <w:trPr>
          <w:trHeight w:val="174"/>
        </w:trPr>
        <w:tc>
          <w:tcPr>
            <w:tcW w:w="1660" w:type="dxa"/>
            <w:vAlign w:val="bottom"/>
            <w:tcBorders>
              <w:top w:val="single" w:sz="8" w:color="auto"/>
            </w:tcBorders>
          </w:tcPr>
          <w:p>
            <w:pPr>
              <w:ind w:left="20"/>
              <w:spacing w:after="0" w:line="168" w:lineRule="exact"/>
              <w:rPr>
                <w:sz w:val="20"/>
                <w:szCs w:val="20"/>
                <w:color w:val="auto"/>
              </w:rPr>
            </w:pPr>
            <w:r>
              <w:rPr>
                <w:rFonts w:ascii="Arial" w:cs="Arial" w:eastAsia="Arial" w:hAnsi="Arial"/>
                <w:sz w:val="18"/>
                <w:szCs w:val="18"/>
                <w:color w:val="auto"/>
              </w:rPr>
              <w:t>10.5*</w:t>
            </w:r>
          </w:p>
        </w:tc>
        <w:tc>
          <w:tcPr>
            <w:tcW w:w="640" w:type="dxa"/>
            <w:vAlign w:val="bottom"/>
          </w:tcPr>
          <w:p>
            <w:pPr>
              <w:spacing w:after="0"/>
              <w:rPr>
                <w:sz w:val="15"/>
                <w:szCs w:val="15"/>
                <w:color w:val="auto"/>
              </w:rPr>
            </w:pPr>
          </w:p>
        </w:tc>
        <w:tc>
          <w:tcPr>
            <w:tcW w:w="8940" w:type="dxa"/>
            <w:vAlign w:val="bottom"/>
            <w:tcBorders>
              <w:top w:val="single" w:sz="8" w:color="auto"/>
            </w:tcBorders>
            <w:gridSpan w:val="37"/>
          </w:tcPr>
          <w:p>
            <w:pPr>
              <w:spacing w:after="0" w:line="168" w:lineRule="exact"/>
              <w:rPr>
                <w:rFonts w:ascii="Arial" w:cs="Arial" w:eastAsia="Arial" w:hAnsi="Arial"/>
                <w:sz w:val="18"/>
                <w:szCs w:val="18"/>
                <w:color w:val="0000FF"/>
              </w:rPr>
            </w:pPr>
            <w:hyperlink r:id="rId190">
              <w:r>
                <w:rPr>
                  <w:rFonts w:ascii="Arial" w:cs="Arial" w:eastAsia="Arial" w:hAnsi="Arial"/>
                  <w:sz w:val="18"/>
                  <w:szCs w:val="18"/>
                  <w:color w:val="0000FF"/>
                </w:rPr>
                <w:t>Severance Benefit Agreement between the Company and J. Tyson Hagale, dated February 22, 2023, filed</w:t>
              </w:r>
            </w:hyperlink>
          </w:p>
        </w:tc>
      </w:tr>
      <w:tr>
        <w:trPr>
          <w:trHeight w:val="161"/>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380" w:type="dxa"/>
            <w:vAlign w:val="bottom"/>
            <w:tcBorders>
              <w:top w:val="single" w:sz="8" w:color="0000FF"/>
            </w:tcBorders>
            <w:gridSpan w:val="11"/>
          </w:tcPr>
          <w:p>
            <w:pPr>
              <w:spacing w:after="0" w:line="161" w:lineRule="exact"/>
              <w:rPr>
                <w:rFonts w:ascii="Arial" w:cs="Arial" w:eastAsia="Arial" w:hAnsi="Arial"/>
                <w:sz w:val="18"/>
                <w:szCs w:val="18"/>
                <w:color w:val="0000FF"/>
              </w:rPr>
            </w:pPr>
            <w:hyperlink r:id="rId190">
              <w:r>
                <w:rPr>
                  <w:rFonts w:ascii="Arial" w:cs="Arial" w:eastAsia="Arial" w:hAnsi="Arial"/>
                  <w:sz w:val="18"/>
                  <w:szCs w:val="18"/>
                  <w:color w:val="0000FF"/>
                </w:rPr>
                <w:t>February 23, 2023 as Exhibit 10.5 to the Company's Form 8-K, is incorporated herein by reference. (SEC</w:t>
              </w:r>
            </w:hyperlink>
          </w:p>
        </w:tc>
        <w:tc>
          <w:tcPr>
            <w:tcW w:w="560" w:type="dxa"/>
            <w:vAlign w:val="bottom"/>
            <w:gridSpan w:val="26"/>
          </w:tcPr>
          <w:p>
            <w:pPr>
              <w:spacing w:after="0" w:line="161" w:lineRule="exact"/>
              <w:rPr>
                <w:rFonts w:ascii="Arial" w:cs="Arial" w:eastAsia="Arial" w:hAnsi="Arial"/>
                <w:sz w:val="18"/>
                <w:szCs w:val="18"/>
                <w:color w:val="0000FF"/>
              </w:rPr>
            </w:pPr>
            <w:hyperlink r:id="rId190">
              <w:r>
                <w:rPr>
                  <w:rFonts w:ascii="Arial" w:cs="Arial" w:eastAsia="Arial" w:hAnsi="Arial"/>
                  <w:sz w:val="18"/>
                  <w:szCs w:val="18"/>
                  <w:color w:val="0000FF"/>
                </w:rPr>
                <w:t>File</w:t>
              </w:r>
            </w:hyperlink>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40" w:type="dxa"/>
            <w:vAlign w:val="bottom"/>
            <w:tcBorders>
              <w:top w:val="single" w:sz="8" w:color="0000FF"/>
            </w:tcBorders>
            <w:gridSpan w:val="21"/>
          </w:tcPr>
          <w:p>
            <w:pPr>
              <w:spacing w:after="0" w:line="168" w:lineRule="exact"/>
              <w:rPr>
                <w:rFonts w:ascii="Arial" w:cs="Arial" w:eastAsia="Arial" w:hAnsi="Arial"/>
                <w:sz w:val="18"/>
                <w:szCs w:val="18"/>
                <w:color w:val="0000FF"/>
              </w:rPr>
            </w:pPr>
            <w:hyperlink r:id="rId190">
              <w:r>
                <w:rPr>
                  <w:rFonts w:ascii="Arial" w:cs="Arial" w:eastAsia="Arial" w:hAnsi="Arial"/>
                  <w:sz w:val="18"/>
                  <w:szCs w:val="18"/>
                  <w:color w:val="0000FF"/>
                </w:rPr>
                <w:t>No. 001-07845)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10.6*</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191">
              <w:r>
                <w:rPr>
                  <w:rFonts w:ascii="Arial" w:cs="Arial" w:eastAsia="Arial" w:hAnsi="Arial"/>
                  <w:sz w:val="18"/>
                  <w:szCs w:val="18"/>
                  <w:color w:val="0000FF"/>
                </w:rPr>
                <w:t>Severance Benefit Agreement between the Company and Robert Samuel Smith Jr., dated August 7, 2024, filed</w:t>
              </w:r>
            </w:hyperlink>
          </w:p>
        </w:tc>
      </w:tr>
      <w:tr>
        <w:trPr>
          <w:trHeight w:val="168"/>
        </w:trPr>
        <w:tc>
          <w:tcPr>
            <w:tcW w:w="16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right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30"/>
            <w:shd w:val="clear" w:color="auto" w:fill="CCEEFF"/>
          </w:tcPr>
          <w:p>
            <w:pPr>
              <w:spacing w:after="0" w:line="168" w:lineRule="exact"/>
              <w:rPr>
                <w:rFonts w:ascii="Arial" w:cs="Arial" w:eastAsia="Arial" w:hAnsi="Arial"/>
                <w:sz w:val="18"/>
                <w:szCs w:val="18"/>
                <w:color w:val="0000FF"/>
              </w:rPr>
            </w:pPr>
            <w:hyperlink r:id="rId191">
              <w:r>
                <w:rPr>
                  <w:rFonts w:ascii="Arial" w:cs="Arial" w:eastAsia="Arial" w:hAnsi="Arial"/>
                  <w:sz w:val="18"/>
                  <w:szCs w:val="18"/>
                  <w:color w:val="0000FF"/>
                </w:rPr>
                <w:t>February 26, 2025 as Exhibit 10.5 to the Company's Form 10-K, is incorporated herein by reference. (SEC File</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5"/>
        </w:trPr>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40" w:type="dxa"/>
            <w:vAlign w:val="bottom"/>
            <w:tcBorders>
              <w:top w:val="single" w:sz="8" w:color="0000FF"/>
              <w:bottom w:val="single" w:sz="8" w:color="0000FF"/>
            </w:tcBorders>
            <w:gridSpan w:val="3"/>
            <w:shd w:val="clear" w:color="auto" w:fill="CCEEFF"/>
          </w:tcPr>
          <w:p>
            <w:pPr>
              <w:spacing w:after="0" w:line="181" w:lineRule="exact"/>
              <w:rPr>
                <w:rFonts w:ascii="Arial" w:cs="Arial" w:eastAsia="Arial" w:hAnsi="Arial"/>
                <w:sz w:val="18"/>
                <w:szCs w:val="18"/>
                <w:color w:val="0000FF"/>
                <w:w w:val="97"/>
              </w:rPr>
            </w:pPr>
            <w:hyperlink r:id="rId191">
              <w:r>
                <w:rPr>
                  <w:rFonts w:ascii="Arial" w:cs="Arial" w:eastAsia="Arial" w:hAnsi="Arial"/>
                  <w:sz w:val="18"/>
                  <w:szCs w:val="18"/>
                  <w:color w:val="0000FF"/>
                  <w:w w:val="97"/>
                </w:rPr>
                <w:t>No. 001-07845)</w:t>
              </w:r>
            </w:hyperlink>
          </w:p>
        </w:tc>
        <w:tc>
          <w:tcPr>
            <w:tcW w:w="7520" w:type="dxa"/>
            <w:vAlign w:val="bottom"/>
            <w:tcBorders>
              <w:top w:val="single" w:sz="8" w:color="0000FF"/>
              <w:bottom w:val="single" w:sz="8" w:color="CCEEFF"/>
            </w:tcBorders>
            <w:gridSpan w:val="2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10.7*</w:t>
            </w:r>
          </w:p>
        </w:tc>
        <w:tc>
          <w:tcPr>
            <w:tcW w:w="640" w:type="dxa"/>
            <w:vAlign w:val="bottom"/>
          </w:tcPr>
          <w:p>
            <w:pPr>
              <w:spacing w:after="0"/>
              <w:rPr>
                <w:sz w:val="16"/>
                <w:szCs w:val="16"/>
                <w:color w:val="auto"/>
              </w:rPr>
            </w:pPr>
          </w:p>
        </w:tc>
        <w:tc>
          <w:tcPr>
            <w:tcW w:w="8940" w:type="dxa"/>
            <w:vAlign w:val="bottom"/>
            <w:gridSpan w:val="37"/>
          </w:tcPr>
          <w:p>
            <w:pPr>
              <w:spacing w:after="0" w:line="188" w:lineRule="exact"/>
              <w:rPr>
                <w:rFonts w:ascii="Arial" w:cs="Arial" w:eastAsia="Arial" w:hAnsi="Arial"/>
                <w:sz w:val="18"/>
                <w:szCs w:val="18"/>
                <w:color w:val="0000FF"/>
                <w:w w:val="99"/>
              </w:rPr>
            </w:pPr>
            <w:hyperlink r:id="rId192">
              <w:r>
                <w:rPr>
                  <w:rFonts w:ascii="Arial" w:cs="Arial" w:eastAsia="Arial" w:hAnsi="Arial"/>
                  <w:sz w:val="18"/>
                  <w:szCs w:val="18"/>
                  <w:color w:val="0000FF"/>
                  <w:w w:val="99"/>
                </w:rPr>
                <w:t>Time Sharing Agreement between the Company and Karl G. Glassman, dated May 20, 2024, filed May 21, 2024</w:t>
              </w:r>
            </w:hyperlink>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60" w:type="dxa"/>
            <w:vAlign w:val="bottom"/>
            <w:tcBorders>
              <w:top w:val="single" w:sz="8" w:color="0000FF"/>
            </w:tcBorders>
            <w:gridSpan w:val="33"/>
          </w:tcPr>
          <w:p>
            <w:pPr>
              <w:spacing w:after="0" w:line="154" w:lineRule="exact"/>
              <w:rPr>
                <w:rFonts w:ascii="Arial" w:cs="Arial" w:eastAsia="Arial" w:hAnsi="Arial"/>
                <w:sz w:val="17"/>
                <w:szCs w:val="17"/>
                <w:color w:val="0000FF"/>
              </w:rPr>
            </w:pPr>
            <w:hyperlink r:id="rId192">
              <w:r>
                <w:rPr>
                  <w:rFonts w:ascii="Arial" w:cs="Arial" w:eastAsia="Arial" w:hAnsi="Arial"/>
                  <w:sz w:val="17"/>
                  <w:szCs w:val="17"/>
                  <w:color w:val="0000FF"/>
                </w:rPr>
                <w:t>as Exhibit 10.3 to the Company’s Form 8-K, is incorporated herein by reference. (SEC File No. 001-07845)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10.8*</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193">
              <w:r>
                <w:rPr>
                  <w:rFonts w:ascii="Arial" w:cs="Arial" w:eastAsia="Arial" w:hAnsi="Arial"/>
                  <w:sz w:val="18"/>
                  <w:szCs w:val="18"/>
                  <w:color w:val="0000FF"/>
                </w:rPr>
                <w:t>Transition and Consulting Agreement between the Company and J. Mitchell Dolloff, dated May 20, 2024, filed</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CCEEFF"/>
            </w:tcBorders>
            <w:shd w:val="clear" w:color="auto" w:fill="CCEEFF"/>
          </w:tcPr>
          <w:p>
            <w:pPr>
              <w:spacing w:after="0"/>
              <w:rPr>
                <w:sz w:val="13"/>
                <w:szCs w:val="13"/>
                <w:color w:val="auto"/>
              </w:rPr>
            </w:pPr>
          </w:p>
        </w:tc>
        <w:tc>
          <w:tcPr>
            <w:tcW w:w="8620" w:type="dxa"/>
            <w:vAlign w:val="bottom"/>
            <w:tcBorders>
              <w:top w:val="single" w:sz="8" w:color="0000FF"/>
            </w:tcBorders>
            <w:gridSpan w:val="20"/>
            <w:shd w:val="clear" w:color="auto" w:fill="CCEEFF"/>
          </w:tcPr>
          <w:p>
            <w:pPr>
              <w:spacing w:after="0" w:line="154" w:lineRule="exact"/>
              <w:rPr>
                <w:rFonts w:ascii="Arial" w:cs="Arial" w:eastAsia="Arial" w:hAnsi="Arial"/>
                <w:sz w:val="17"/>
                <w:szCs w:val="17"/>
                <w:color w:val="0000FF"/>
              </w:rPr>
            </w:pPr>
            <w:hyperlink r:id="rId193">
              <w:r>
                <w:rPr>
                  <w:rFonts w:ascii="Arial" w:cs="Arial" w:eastAsia="Arial" w:hAnsi="Arial"/>
                  <w:sz w:val="17"/>
                  <w:szCs w:val="17"/>
                  <w:color w:val="0000FF"/>
                </w:rPr>
                <w:t>May 21, 2024 as Exhibit 10.4 to the Company’s Form 8-K, is incorporated herein by reference. (SEC File No.</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8"/>
        </w:trPr>
        <w:tc>
          <w:tcPr>
            <w:tcW w:w="16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right w:val="single" w:sz="8" w:color="CCEEFF"/>
            </w:tcBorders>
            <w:shd w:val="clear" w:color="auto" w:fill="CCEEFF"/>
          </w:tcPr>
          <w:p>
            <w:pPr>
              <w:spacing w:after="0"/>
              <w:rPr>
                <w:sz w:val="14"/>
                <w:szCs w:val="14"/>
                <w:color w:val="auto"/>
              </w:rPr>
            </w:pPr>
          </w:p>
        </w:tc>
        <w:tc>
          <w:tcPr>
            <w:tcW w:w="1240" w:type="dxa"/>
            <w:vAlign w:val="bottom"/>
            <w:tcBorders>
              <w:top w:val="single" w:sz="8" w:color="0000FF"/>
            </w:tcBorders>
            <w:gridSpan w:val="3"/>
            <w:shd w:val="clear" w:color="auto" w:fill="CCEEFF"/>
          </w:tcPr>
          <w:p>
            <w:pPr>
              <w:spacing w:after="0" w:line="168" w:lineRule="exact"/>
              <w:rPr>
                <w:rFonts w:ascii="Arial" w:cs="Arial" w:eastAsia="Arial" w:hAnsi="Arial"/>
                <w:sz w:val="18"/>
                <w:szCs w:val="18"/>
                <w:color w:val="0000FF"/>
              </w:rPr>
            </w:pPr>
            <w:hyperlink r:id="rId193">
              <w:r>
                <w:rPr>
                  <w:rFonts w:ascii="Arial" w:cs="Arial" w:eastAsia="Arial" w:hAnsi="Arial"/>
                  <w:sz w:val="18"/>
                  <w:szCs w:val="18"/>
                  <w:color w:val="0000FF"/>
                </w:rPr>
                <w:t>001-07845)</w:t>
              </w:r>
            </w:hyperlink>
          </w:p>
        </w:tc>
        <w:tc>
          <w:tcPr>
            <w:tcW w:w="166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1020" w:type="dxa"/>
            <w:vAlign w:val="bottom"/>
            <w:tcBorders>
              <w:top w:val="single" w:sz="8" w:color="0000FF"/>
            </w:tcBorders>
            <w:shd w:val="clear" w:color="auto" w:fill="CCEEFF"/>
          </w:tcPr>
          <w:p>
            <w:pPr>
              <w:spacing w:after="0"/>
              <w:rPr>
                <w:sz w:val="14"/>
                <w:szCs w:val="14"/>
                <w:color w:val="auto"/>
              </w:rPr>
            </w:pPr>
          </w:p>
        </w:tc>
        <w:tc>
          <w:tcPr>
            <w:tcW w:w="960" w:type="dxa"/>
            <w:vAlign w:val="bottom"/>
            <w:tcBorders>
              <w:top w:val="single" w:sz="8" w:color="0000FF"/>
            </w:tcBorders>
            <w:shd w:val="clear" w:color="auto" w:fill="CCEEFF"/>
          </w:tcPr>
          <w:p>
            <w:pPr>
              <w:spacing w:after="0"/>
              <w:rPr>
                <w:sz w:val="14"/>
                <w:szCs w:val="14"/>
                <w:color w:val="auto"/>
              </w:rPr>
            </w:pPr>
          </w:p>
        </w:tc>
        <w:tc>
          <w:tcPr>
            <w:tcW w:w="144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10.9*</w:t>
            </w:r>
          </w:p>
        </w:tc>
        <w:tc>
          <w:tcPr>
            <w:tcW w:w="640" w:type="dxa"/>
            <w:vAlign w:val="bottom"/>
          </w:tcPr>
          <w:p>
            <w:pPr>
              <w:spacing w:after="0"/>
              <w:rPr>
                <w:sz w:val="16"/>
                <w:szCs w:val="16"/>
                <w:color w:val="auto"/>
              </w:rPr>
            </w:pPr>
          </w:p>
        </w:tc>
        <w:tc>
          <w:tcPr>
            <w:tcW w:w="8940" w:type="dxa"/>
            <w:vAlign w:val="bottom"/>
            <w:gridSpan w:val="37"/>
          </w:tcPr>
          <w:p>
            <w:pPr>
              <w:spacing w:after="0" w:line="188"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Form of Indemnification Agreement approved by the shareholders of the Company and entered into between the</w:t>
              </w:r>
            </w:hyperlink>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80" w:type="dxa"/>
            <w:vAlign w:val="bottom"/>
            <w:tcBorders>
              <w:top w:val="single" w:sz="8" w:color="0000FF"/>
            </w:tcBorders>
            <w:gridSpan w:val="34"/>
          </w:tcPr>
          <w:p>
            <w:pPr>
              <w:spacing w:after="0" w:line="154" w:lineRule="exact"/>
              <w:rPr>
                <w:rFonts w:ascii="Arial" w:cs="Arial" w:eastAsia="Arial" w:hAnsi="Arial"/>
                <w:sz w:val="17"/>
                <w:szCs w:val="17"/>
                <w:color w:val="0000FF"/>
              </w:rPr>
            </w:pPr>
            <w:hyperlink r:id="rId194">
              <w:r>
                <w:rPr>
                  <w:rFonts w:ascii="Arial" w:cs="Arial" w:eastAsia="Arial" w:hAnsi="Arial"/>
                  <w:sz w:val="17"/>
                  <w:szCs w:val="17"/>
                  <w:color w:val="0000FF"/>
                </w:rPr>
                <w:t>Company and its directors and executive officers, filed March 28, 2002 as Exhibit 10.11 to the Company’s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0" w:type="dxa"/>
            <w:vAlign w:val="bottom"/>
            <w:tcBorders>
              <w:top w:val="single" w:sz="8" w:color="0000FF"/>
            </w:tcBorders>
            <w:gridSpan w:val="29"/>
          </w:tcPr>
          <w:p>
            <w:pPr>
              <w:spacing w:after="0" w:line="168" w:lineRule="exact"/>
              <w:rPr>
                <w:rFonts w:ascii="Arial" w:cs="Arial" w:eastAsia="Arial" w:hAnsi="Arial"/>
                <w:sz w:val="18"/>
                <w:szCs w:val="18"/>
                <w:color w:val="0000FF"/>
              </w:rPr>
            </w:pPr>
            <w:hyperlink r:id="rId194">
              <w:r>
                <w:rPr>
                  <w:rFonts w:ascii="Arial" w:cs="Arial" w:eastAsia="Arial" w:hAnsi="Arial"/>
                  <w:sz w:val="18"/>
                  <w:szCs w:val="18"/>
                  <w:color w:val="0000FF"/>
                </w:rPr>
                <w:t>10-K for the year ended December 31, 2001, is incorporated herein by reference. (SEC File No. 001-07845)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10.10*</w:t>
            </w:r>
          </w:p>
        </w:tc>
        <w:tc>
          <w:tcPr>
            <w:tcW w:w="640" w:type="dxa"/>
            <w:vAlign w:val="bottom"/>
            <w:tcBorders>
              <w:right w:val="single" w:sz="8" w:color="CCEEFF"/>
            </w:tcBorders>
            <w:shd w:val="clear" w:color="auto" w:fill="CCEEFF"/>
          </w:tcPr>
          <w:p>
            <w:pPr>
              <w:spacing w:after="0"/>
              <w:rPr>
                <w:sz w:val="19"/>
                <w:szCs w:val="19"/>
                <w:color w:val="auto"/>
              </w:rPr>
            </w:pPr>
          </w:p>
        </w:tc>
        <w:tc>
          <w:tcPr>
            <w:tcW w:w="8940" w:type="dxa"/>
            <w:vAlign w:val="bottom"/>
            <w:gridSpan w:val="37"/>
            <w:shd w:val="clear" w:color="auto" w:fill="CCEEFF"/>
          </w:tcPr>
          <w:p>
            <w:pPr>
              <w:spacing w:after="0"/>
              <w:rPr>
                <w:rFonts w:ascii="Arial" w:cs="Arial" w:eastAsia="Arial" w:hAnsi="Arial"/>
                <w:sz w:val="18"/>
                <w:szCs w:val="18"/>
                <w:color w:val="0000FF"/>
              </w:rPr>
            </w:pPr>
            <w:hyperlink r:id="rId195">
              <w:r>
                <w:rPr>
                  <w:rFonts w:ascii="Arial" w:cs="Arial" w:eastAsia="Arial" w:hAnsi="Arial"/>
                  <w:sz w:val="18"/>
                  <w:szCs w:val="18"/>
                  <w:color w:val="0000FF"/>
                </w:rPr>
                <w:t>Summary Sheet of Executive Cash Compensation, filed February 24, 2026 as Exhibit 10.1 to the Company’s</w:t>
              </w:r>
            </w:hyperlink>
          </w:p>
        </w:tc>
      </w:tr>
      <w:tr>
        <w:trPr>
          <w:trHeight w:val="174"/>
        </w:trPr>
        <w:tc>
          <w:tcPr>
            <w:tcW w:w="16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right w:val="single" w:sz="8" w:color="CCEEFF"/>
            </w:tcBorders>
            <w:shd w:val="clear" w:color="auto" w:fill="CCEEFF"/>
          </w:tcPr>
          <w:p>
            <w:pPr>
              <w:spacing w:after="0"/>
              <w:rPr>
                <w:sz w:val="15"/>
                <w:szCs w:val="15"/>
                <w:color w:val="auto"/>
              </w:rPr>
            </w:pPr>
          </w:p>
        </w:tc>
        <w:tc>
          <w:tcPr>
            <w:tcW w:w="8560" w:type="dxa"/>
            <w:vAlign w:val="bottom"/>
            <w:tcBorders>
              <w:top w:val="single" w:sz="8" w:color="0000FF"/>
            </w:tcBorders>
            <w:gridSpan w:val="17"/>
            <w:shd w:val="clear" w:color="auto" w:fill="CCEEFF"/>
          </w:tcPr>
          <w:p>
            <w:pPr>
              <w:spacing w:after="0" w:line="154" w:lineRule="exact"/>
              <w:rPr>
                <w:rFonts w:ascii="Arial" w:cs="Arial" w:eastAsia="Arial" w:hAnsi="Arial"/>
                <w:sz w:val="17"/>
                <w:szCs w:val="17"/>
                <w:color w:val="0000FF"/>
              </w:rPr>
            </w:pPr>
            <w:hyperlink r:id="rId195">
              <w:r>
                <w:rPr>
                  <w:rFonts w:ascii="Arial" w:cs="Arial" w:eastAsia="Arial" w:hAnsi="Arial"/>
                  <w:sz w:val="17"/>
                  <w:szCs w:val="17"/>
                  <w:color w:val="0000FF"/>
                </w:rPr>
                <w:t>Form 8-K, is incorporated herein by reference. (SEC File No. 001-07845)</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28"/>
        </w:trPr>
        <w:tc>
          <w:tcPr>
            <w:tcW w:w="1660" w:type="dxa"/>
            <w:vAlign w:val="bottom"/>
            <w:tcBorders>
              <w:top w:val="single" w:sz="8" w:color="CCEEFF"/>
            </w:tcBorders>
          </w:tcPr>
          <w:p>
            <w:pPr>
              <w:ind w:left="20"/>
              <w:spacing w:after="0" w:line="228" w:lineRule="exact"/>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40" w:type="dxa"/>
            <w:vAlign w:val="bottom"/>
            <w:tcBorders>
              <w:top w:val="single" w:sz="8" w:color="CCEEFF"/>
            </w:tcBorders>
          </w:tcPr>
          <w:p>
            <w:pPr>
              <w:spacing w:after="0"/>
              <w:rPr>
                <w:sz w:val="19"/>
                <w:szCs w:val="19"/>
                <w:color w:val="auto"/>
              </w:rPr>
            </w:pPr>
          </w:p>
        </w:tc>
        <w:tc>
          <w:tcPr>
            <w:tcW w:w="57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Summary Sheet of Director Compensation</w:t>
            </w:r>
          </w:p>
        </w:tc>
        <w:tc>
          <w:tcPr>
            <w:tcW w:w="3200" w:type="dxa"/>
            <w:vAlign w:val="bottom"/>
            <w:tcBorders>
              <w:top w:val="single" w:sz="8" w:color="CCEEFF"/>
            </w:tcBorders>
            <w:gridSpan w:val="30"/>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The Company’s Flexible Stock Plan, amended and restated, effective as of May 7, 2025, filed March 26, 2025 as</w:t>
              </w:r>
            </w:hyperlink>
          </w:p>
        </w:tc>
      </w:tr>
      <w:tr>
        <w:trPr>
          <w:trHeight w:val="188"/>
        </w:trPr>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860" w:type="dxa"/>
            <w:vAlign w:val="bottom"/>
            <w:tcBorders>
              <w:top w:val="single" w:sz="8" w:color="0000FF"/>
              <w:bottom w:val="single" w:sz="8" w:color="0000FF"/>
            </w:tcBorders>
            <w:gridSpan w:val="33"/>
            <w:shd w:val="clear" w:color="auto" w:fill="CCEEFF"/>
          </w:tcPr>
          <w:p>
            <w:pPr>
              <w:spacing w:after="0" w:line="154" w:lineRule="exact"/>
              <w:rPr>
                <w:rFonts w:ascii="Arial" w:cs="Arial" w:eastAsia="Arial" w:hAnsi="Arial"/>
                <w:sz w:val="17"/>
                <w:szCs w:val="17"/>
                <w:color w:val="0000FF"/>
              </w:rPr>
            </w:pPr>
            <w:hyperlink r:id="rId196">
              <w:r>
                <w:rPr>
                  <w:rFonts w:ascii="Arial" w:cs="Arial" w:eastAsia="Arial" w:hAnsi="Arial"/>
                  <w:sz w:val="17"/>
                  <w:szCs w:val="17"/>
                  <w:color w:val="0000FF"/>
                </w:rPr>
                <w:t>an Appendix to the Company’s Proxy Statement, is incorporated herein by reference. (SEC File No. 001-07845)</w:t>
              </w:r>
            </w:hyperlink>
          </w:p>
        </w:tc>
        <w:tc>
          <w:tcPr>
            <w:tcW w:w="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10.12.1*</w:t>
            </w:r>
          </w:p>
        </w:tc>
        <w:tc>
          <w:tcPr>
            <w:tcW w:w="640" w:type="dxa"/>
            <w:vAlign w:val="bottom"/>
          </w:tcPr>
          <w:p>
            <w:pPr>
              <w:spacing w:after="0"/>
              <w:rPr>
                <w:sz w:val="16"/>
                <w:szCs w:val="16"/>
                <w:color w:val="auto"/>
              </w:rPr>
            </w:pPr>
          </w:p>
        </w:tc>
        <w:tc>
          <w:tcPr>
            <w:tcW w:w="8480" w:type="dxa"/>
            <w:vAlign w:val="bottom"/>
            <w:tcBorders>
              <w:bottom w:val="single" w:sz="8" w:color="0000FF"/>
            </w:tcBorders>
            <w:gridSpan w:val="14"/>
          </w:tcPr>
          <w:p>
            <w:pPr>
              <w:spacing w:after="0" w:line="188" w:lineRule="exact"/>
              <w:rPr>
                <w:rFonts w:ascii="Arial" w:cs="Arial" w:eastAsia="Arial" w:hAnsi="Arial"/>
                <w:sz w:val="18"/>
                <w:szCs w:val="18"/>
                <w:color w:val="0000FF"/>
                <w:w w:val="98"/>
              </w:rPr>
            </w:pPr>
            <w:hyperlink r:id="rId197">
              <w:r>
                <w:rPr>
                  <w:rFonts w:ascii="Arial" w:cs="Arial" w:eastAsia="Arial" w:hAnsi="Arial"/>
                  <w:sz w:val="18"/>
                  <w:szCs w:val="18"/>
                  <w:color w:val="0000FF"/>
                  <w:w w:val="98"/>
                </w:rPr>
                <w:t>Form of Non-Qualified Stock Option Award Agreement pursuant to the Company’s Flexible Stock Plan, filed</w:t>
              </w:r>
            </w:hyperlink>
          </w:p>
        </w:tc>
        <w:tc>
          <w:tcPr>
            <w:tcW w:w="460" w:type="dxa"/>
            <w:vAlign w:val="bottom"/>
            <w:gridSpan w:val="23"/>
          </w:tcPr>
          <w:p>
            <w:pPr>
              <w:spacing w:after="0"/>
              <w:rPr>
                <w:sz w:val="16"/>
                <w:szCs w:val="16"/>
                <w:color w:val="auto"/>
              </w:rPr>
            </w:pPr>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940" w:type="dxa"/>
            <w:vAlign w:val="bottom"/>
            <w:gridSpan w:val="37"/>
          </w:tcPr>
          <w:p>
            <w:pPr>
              <w:spacing w:after="0" w:line="154" w:lineRule="exact"/>
              <w:rPr>
                <w:rFonts w:ascii="Arial" w:cs="Arial" w:eastAsia="Arial" w:hAnsi="Arial"/>
                <w:sz w:val="17"/>
                <w:szCs w:val="17"/>
                <w:color w:val="0000FF"/>
              </w:rPr>
            </w:pPr>
            <w:hyperlink r:id="rId197">
              <w:r>
                <w:rPr>
                  <w:rFonts w:ascii="Arial" w:cs="Arial" w:eastAsia="Arial" w:hAnsi="Arial"/>
                  <w:sz w:val="17"/>
                  <w:szCs w:val="17"/>
                  <w:color w:val="0000FF"/>
                </w:rPr>
                <w:t>November 4, 2014 as Exhibit 10.1 to the Company’s Form 8-K, is incorporated herein by reference. (SEC File</w:t>
              </w:r>
            </w:hyperlink>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80" w:type="dxa"/>
            <w:vAlign w:val="bottom"/>
            <w:tcBorders>
              <w:top w:val="single" w:sz="8" w:color="0000FF"/>
            </w:tcBorders>
            <w:gridSpan w:val="23"/>
          </w:tcPr>
          <w:p>
            <w:pPr>
              <w:spacing w:after="0" w:line="168" w:lineRule="exact"/>
              <w:rPr>
                <w:rFonts w:ascii="Arial" w:cs="Arial" w:eastAsia="Arial" w:hAnsi="Arial"/>
                <w:sz w:val="18"/>
                <w:szCs w:val="18"/>
                <w:color w:val="0000FF"/>
              </w:rPr>
            </w:pPr>
            <w:hyperlink r:id="rId197">
              <w:r>
                <w:rPr>
                  <w:rFonts w:ascii="Arial" w:cs="Arial" w:eastAsia="Arial" w:hAnsi="Arial"/>
                  <w:sz w:val="18"/>
                  <w:szCs w:val="18"/>
                  <w:color w:val="0000FF"/>
                </w:rPr>
                <w:t>No. 001-07845)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10.12.2*</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198">
              <w:r>
                <w:rPr>
                  <w:rFonts w:ascii="Arial" w:cs="Arial" w:eastAsia="Arial" w:hAnsi="Arial"/>
                  <w:sz w:val="18"/>
                  <w:szCs w:val="18"/>
                  <w:color w:val="0000FF"/>
                </w:rPr>
                <w:t>2026 Form of Performance Stock Unit Award Agreement pursuant to the Company’s Flexible Stock Plan, filed</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CCEEFF"/>
            </w:tcBorders>
            <w:shd w:val="clear" w:color="auto" w:fill="CCEEFF"/>
          </w:tcPr>
          <w:p>
            <w:pPr>
              <w:spacing w:after="0"/>
              <w:rPr>
                <w:sz w:val="13"/>
                <w:szCs w:val="13"/>
                <w:color w:val="auto"/>
              </w:rPr>
            </w:pPr>
          </w:p>
        </w:tc>
        <w:tc>
          <w:tcPr>
            <w:tcW w:w="8720" w:type="dxa"/>
            <w:vAlign w:val="bottom"/>
            <w:tcBorders>
              <w:top w:val="single" w:sz="8" w:color="0000FF"/>
            </w:tcBorders>
            <w:gridSpan w:val="25"/>
            <w:shd w:val="clear" w:color="auto" w:fill="CCEEFF"/>
          </w:tcPr>
          <w:p>
            <w:pPr>
              <w:spacing w:after="0" w:line="154" w:lineRule="exact"/>
              <w:rPr>
                <w:rFonts w:ascii="Arial" w:cs="Arial" w:eastAsia="Arial" w:hAnsi="Arial"/>
                <w:sz w:val="17"/>
                <w:szCs w:val="17"/>
                <w:color w:val="0000FF"/>
              </w:rPr>
            </w:pPr>
            <w:hyperlink r:id="rId198">
              <w:r>
                <w:rPr>
                  <w:rFonts w:ascii="Arial" w:cs="Arial" w:eastAsia="Arial" w:hAnsi="Arial"/>
                  <w:sz w:val="17"/>
                  <w:szCs w:val="17"/>
                  <w:color w:val="0000FF"/>
                </w:rPr>
                <w:t>February 24, 2026 as Exhibit 10.4 to the Company’s Form 8-K, is incorporated herein by reference. (SEC File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8"/>
        </w:trPr>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0000FF"/>
            </w:tcBorders>
            <w:gridSpan w:val="3"/>
            <w:shd w:val="clear" w:color="auto" w:fill="CCEEFF"/>
          </w:tcPr>
          <w:p>
            <w:pPr>
              <w:spacing w:after="0" w:line="168" w:lineRule="exact"/>
              <w:rPr>
                <w:rFonts w:ascii="Arial" w:cs="Arial" w:eastAsia="Arial" w:hAnsi="Arial"/>
                <w:sz w:val="18"/>
                <w:szCs w:val="18"/>
                <w:color w:val="0000FF"/>
                <w:w w:val="97"/>
              </w:rPr>
            </w:pPr>
            <w:hyperlink r:id="rId198">
              <w:r>
                <w:rPr>
                  <w:rFonts w:ascii="Arial" w:cs="Arial" w:eastAsia="Arial" w:hAnsi="Arial"/>
                  <w:sz w:val="18"/>
                  <w:szCs w:val="18"/>
                  <w:color w:val="0000FF"/>
                  <w:w w:val="97"/>
                </w:rPr>
                <w:t>No. 001-07845)</w:t>
              </w:r>
            </w:hyperlink>
          </w:p>
        </w:tc>
        <w:tc>
          <w:tcPr>
            <w:tcW w:w="742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10.12.3*</w:t>
            </w:r>
          </w:p>
        </w:tc>
        <w:tc>
          <w:tcPr>
            <w:tcW w:w="640" w:type="dxa"/>
            <w:vAlign w:val="bottom"/>
          </w:tcPr>
          <w:p>
            <w:pPr>
              <w:spacing w:after="0"/>
              <w:rPr>
                <w:sz w:val="16"/>
                <w:szCs w:val="16"/>
                <w:color w:val="auto"/>
              </w:rPr>
            </w:pPr>
          </w:p>
        </w:tc>
        <w:tc>
          <w:tcPr>
            <w:tcW w:w="8940" w:type="dxa"/>
            <w:vAlign w:val="bottom"/>
            <w:gridSpan w:val="37"/>
          </w:tcPr>
          <w:p>
            <w:pPr>
              <w:spacing w:after="0" w:line="188" w:lineRule="exact"/>
              <w:rPr>
                <w:rFonts w:ascii="Arial" w:cs="Arial" w:eastAsia="Arial" w:hAnsi="Arial"/>
                <w:sz w:val="18"/>
                <w:szCs w:val="18"/>
                <w:color w:val="0000FF"/>
              </w:rPr>
            </w:pPr>
            <w:hyperlink r:id="rId199">
              <w:r>
                <w:rPr>
                  <w:rFonts w:ascii="Arial" w:cs="Arial" w:eastAsia="Arial" w:hAnsi="Arial"/>
                  <w:sz w:val="18"/>
                  <w:szCs w:val="18"/>
                  <w:color w:val="0000FF"/>
                </w:rPr>
                <w:t>2025 Form of Performance Stock Unit Award Agreement pursuant to the Company’s Flexible Stock Plan, filed</w:t>
              </w:r>
            </w:hyperlink>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20" w:type="dxa"/>
            <w:vAlign w:val="bottom"/>
            <w:tcBorders>
              <w:top w:val="single" w:sz="8" w:color="0000FF"/>
            </w:tcBorders>
            <w:gridSpan w:val="25"/>
          </w:tcPr>
          <w:p>
            <w:pPr>
              <w:spacing w:after="0" w:line="154" w:lineRule="exact"/>
              <w:rPr>
                <w:rFonts w:ascii="Arial" w:cs="Arial" w:eastAsia="Arial" w:hAnsi="Arial"/>
                <w:sz w:val="17"/>
                <w:szCs w:val="17"/>
                <w:color w:val="0000FF"/>
              </w:rPr>
            </w:pPr>
            <w:hyperlink r:id="rId199">
              <w:r>
                <w:rPr>
                  <w:rFonts w:ascii="Arial" w:cs="Arial" w:eastAsia="Arial" w:hAnsi="Arial"/>
                  <w:sz w:val="17"/>
                  <w:szCs w:val="17"/>
                  <w:color w:val="0000FF"/>
                </w:rPr>
                <w:t>February 28, 2025 as Exhibit 10.4 to the Company’s Form 8-K, is incorporated herein by reference. (SEC File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60" w:type="dxa"/>
            <w:vAlign w:val="bottom"/>
            <w:tcBorders>
              <w:top w:val="single" w:sz="8" w:color="0000FF"/>
            </w:tcBorders>
            <w:gridSpan w:val="22"/>
          </w:tcPr>
          <w:p>
            <w:pPr>
              <w:spacing w:after="0" w:line="168" w:lineRule="exact"/>
              <w:rPr>
                <w:rFonts w:ascii="Arial" w:cs="Arial" w:eastAsia="Arial" w:hAnsi="Arial"/>
                <w:sz w:val="18"/>
                <w:szCs w:val="18"/>
                <w:color w:val="0000FF"/>
              </w:rPr>
            </w:pPr>
            <w:hyperlink r:id="rId199">
              <w:r>
                <w:rPr>
                  <w:rFonts w:ascii="Arial" w:cs="Arial" w:eastAsia="Arial" w:hAnsi="Arial"/>
                  <w:sz w:val="18"/>
                  <w:szCs w:val="18"/>
                  <w:color w:val="0000FF"/>
                </w:rPr>
                <w:t>No. 001-07845)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10.12.4*</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200">
              <w:r>
                <w:rPr>
                  <w:rFonts w:ascii="Arial" w:cs="Arial" w:eastAsia="Arial" w:hAnsi="Arial"/>
                  <w:sz w:val="18"/>
                  <w:szCs w:val="18"/>
                  <w:color w:val="0000FF"/>
                </w:rPr>
                <w:t>2024 Interim Performance Stock Unit Award Agreement between the Company and Karl G. Glassman, effective</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CCEEFF"/>
            </w:tcBorders>
            <w:shd w:val="clear" w:color="auto" w:fill="CCEEFF"/>
          </w:tcPr>
          <w:p>
            <w:pPr>
              <w:spacing w:after="0"/>
              <w:rPr>
                <w:sz w:val="13"/>
                <w:szCs w:val="13"/>
                <w:color w:val="auto"/>
              </w:rPr>
            </w:pPr>
          </w:p>
        </w:tc>
        <w:tc>
          <w:tcPr>
            <w:tcW w:w="8860" w:type="dxa"/>
            <w:vAlign w:val="bottom"/>
            <w:tcBorders>
              <w:top w:val="single" w:sz="8" w:color="0000FF"/>
            </w:tcBorders>
            <w:gridSpan w:val="32"/>
            <w:shd w:val="clear" w:color="auto" w:fill="CCEEFF"/>
          </w:tcPr>
          <w:p>
            <w:pPr>
              <w:spacing w:after="0" w:line="154" w:lineRule="exact"/>
              <w:rPr>
                <w:rFonts w:ascii="Arial" w:cs="Arial" w:eastAsia="Arial" w:hAnsi="Arial"/>
                <w:sz w:val="17"/>
                <w:szCs w:val="17"/>
                <w:color w:val="0000FF"/>
              </w:rPr>
            </w:pPr>
            <w:hyperlink r:id="rId200">
              <w:r>
                <w:rPr>
                  <w:rFonts w:ascii="Arial" w:cs="Arial" w:eastAsia="Arial" w:hAnsi="Arial"/>
                  <w:sz w:val="17"/>
                  <w:szCs w:val="17"/>
                  <w:color w:val="0000FF"/>
                </w:rPr>
                <w:t>May 20, 2024, filed May 21, 2024 as Exhibit 10.1 to the Company’s Form 8-K, is incorporated herein by</w:t>
              </w:r>
            </w:hyperlink>
          </w:p>
        </w:tc>
        <w:tc>
          <w:tcPr>
            <w:tcW w:w="6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8"/>
        </w:trPr>
        <w:tc>
          <w:tcPr>
            <w:tcW w:w="16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right w:val="single" w:sz="8" w:color="CCEEFF"/>
            </w:tcBorders>
            <w:shd w:val="clear" w:color="auto" w:fill="CCEEFF"/>
          </w:tcPr>
          <w:p>
            <w:pPr>
              <w:spacing w:after="0"/>
              <w:rPr>
                <w:sz w:val="14"/>
                <w:szCs w:val="14"/>
                <w:color w:val="auto"/>
              </w:rPr>
            </w:pPr>
          </w:p>
        </w:tc>
        <w:tc>
          <w:tcPr>
            <w:tcW w:w="8140" w:type="dxa"/>
            <w:vAlign w:val="bottom"/>
            <w:tcBorders>
              <w:top w:val="single" w:sz="8" w:color="0000FF"/>
            </w:tcBorders>
            <w:gridSpan w:val="9"/>
            <w:shd w:val="clear" w:color="auto" w:fill="CCEEFF"/>
          </w:tcPr>
          <w:p>
            <w:pPr>
              <w:spacing w:after="0" w:line="168" w:lineRule="exact"/>
              <w:rPr>
                <w:rFonts w:ascii="Arial" w:cs="Arial" w:eastAsia="Arial" w:hAnsi="Arial"/>
                <w:sz w:val="18"/>
                <w:szCs w:val="18"/>
                <w:color w:val="0000FF"/>
              </w:rPr>
            </w:pPr>
            <w:hyperlink r:id="rId200">
              <w:r>
                <w:rPr>
                  <w:rFonts w:ascii="Arial" w:cs="Arial" w:eastAsia="Arial" w:hAnsi="Arial"/>
                  <w:sz w:val="18"/>
                  <w:szCs w:val="18"/>
                  <w:color w:val="0000FF"/>
                </w:rPr>
                <w:t>reference. (SEC File No. 001-07845)</w:t>
              </w:r>
            </w:hyperlink>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1"/>
        </w:trPr>
        <w:tc>
          <w:tcPr>
            <w:tcW w:w="1660" w:type="dxa"/>
            <w:vAlign w:val="bottom"/>
          </w:tcPr>
          <w:p>
            <w:pPr>
              <w:ind w:left="20"/>
              <w:spacing w:after="0" w:line="175" w:lineRule="exact"/>
              <w:rPr>
                <w:sz w:val="20"/>
                <w:szCs w:val="20"/>
                <w:color w:val="auto"/>
              </w:rPr>
            </w:pPr>
            <w:r>
              <w:rPr>
                <w:rFonts w:ascii="Arial" w:cs="Arial" w:eastAsia="Arial" w:hAnsi="Arial"/>
                <w:sz w:val="18"/>
                <w:szCs w:val="18"/>
                <w:color w:val="auto"/>
              </w:rPr>
              <w:t>10.12.5*</w:t>
            </w:r>
          </w:p>
        </w:tc>
        <w:tc>
          <w:tcPr>
            <w:tcW w:w="640" w:type="dxa"/>
            <w:vAlign w:val="bottom"/>
          </w:tcPr>
          <w:p>
            <w:pPr>
              <w:spacing w:after="0"/>
              <w:rPr>
                <w:sz w:val="15"/>
                <w:szCs w:val="15"/>
                <w:color w:val="auto"/>
              </w:rPr>
            </w:pPr>
          </w:p>
        </w:tc>
        <w:tc>
          <w:tcPr>
            <w:tcW w:w="8940" w:type="dxa"/>
            <w:vAlign w:val="bottom"/>
            <w:gridSpan w:val="37"/>
          </w:tcPr>
          <w:p>
            <w:pPr>
              <w:spacing w:after="0" w:line="175" w:lineRule="exact"/>
              <w:rPr>
                <w:rFonts w:ascii="Arial" w:cs="Arial" w:eastAsia="Arial" w:hAnsi="Arial"/>
                <w:sz w:val="18"/>
                <w:szCs w:val="18"/>
                <w:color w:val="0000FF"/>
              </w:rPr>
            </w:pPr>
            <w:hyperlink r:id="rId201">
              <w:r>
                <w:rPr>
                  <w:rFonts w:ascii="Arial" w:cs="Arial" w:eastAsia="Arial" w:hAnsi="Arial"/>
                  <w:sz w:val="18"/>
                  <w:szCs w:val="18"/>
                  <w:color w:val="0000FF"/>
                </w:rPr>
                <w:t>2024 Form of Performance Stock Unit Award Agreement pursuant to the Company's Flexible Stock Plan, filed</w:t>
              </w:r>
            </w:hyperlink>
          </w:p>
        </w:tc>
      </w:tr>
      <w:tr>
        <w:trPr>
          <w:trHeight w:val="161"/>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00" w:type="dxa"/>
            <w:vAlign w:val="bottom"/>
            <w:tcBorders>
              <w:top w:val="single" w:sz="8" w:color="0000FF"/>
            </w:tcBorders>
            <w:gridSpan w:val="24"/>
          </w:tcPr>
          <w:p>
            <w:pPr>
              <w:spacing w:after="0" w:line="161" w:lineRule="exact"/>
              <w:rPr>
                <w:rFonts w:ascii="Arial" w:cs="Arial" w:eastAsia="Arial" w:hAnsi="Arial"/>
                <w:sz w:val="18"/>
                <w:szCs w:val="18"/>
                <w:color w:val="0000FF"/>
              </w:rPr>
            </w:pPr>
            <w:hyperlink r:id="rId201">
              <w:r>
                <w:rPr>
                  <w:rFonts w:ascii="Arial" w:cs="Arial" w:eastAsia="Arial" w:hAnsi="Arial"/>
                  <w:sz w:val="18"/>
                  <w:szCs w:val="18"/>
                  <w:color w:val="0000FF"/>
                </w:rPr>
                <w:t>February 28, 2024 as Exhibit 10.6 to the Company's Form 8-K is incorporated herein by reference. (SEC File</w:t>
              </w:r>
            </w:hyperlink>
          </w:p>
        </w:tc>
        <w:tc>
          <w:tcPr>
            <w:tcW w:w="240" w:type="dxa"/>
            <w:vAlign w:val="bottom"/>
            <w:gridSpan w:val="13"/>
          </w:tcPr>
          <w:p>
            <w:pPr>
              <w:spacing w:after="0" w:line="161" w:lineRule="exact"/>
              <w:rPr>
                <w:rFonts w:ascii="Arial" w:cs="Arial" w:eastAsia="Arial" w:hAnsi="Arial"/>
                <w:sz w:val="18"/>
                <w:szCs w:val="18"/>
                <w:color w:val="0000FF"/>
                <w:w w:val="78"/>
              </w:rPr>
            </w:pPr>
            <w:hyperlink r:id="rId201">
              <w:r>
                <w:rPr>
                  <w:rFonts w:ascii="Arial" w:cs="Arial" w:eastAsia="Arial" w:hAnsi="Arial"/>
                  <w:sz w:val="18"/>
                  <w:szCs w:val="18"/>
                  <w:color w:val="0000FF"/>
                  <w:w w:val="78"/>
                </w:rPr>
                <w:t>No.</w:t>
              </w:r>
            </w:hyperlink>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Borders>
              <w:top w:val="single" w:sz="8" w:color="0000FF"/>
            </w:tcBorders>
            <w:gridSpan w:val="3"/>
          </w:tcPr>
          <w:p>
            <w:pPr>
              <w:spacing w:after="0" w:line="168" w:lineRule="exact"/>
              <w:rPr>
                <w:rFonts w:ascii="Arial" w:cs="Arial" w:eastAsia="Arial" w:hAnsi="Arial"/>
                <w:sz w:val="18"/>
                <w:szCs w:val="18"/>
                <w:color w:val="0000FF"/>
              </w:rPr>
            </w:pPr>
            <w:hyperlink r:id="rId201">
              <w:r>
                <w:rPr>
                  <w:rFonts w:ascii="Arial" w:cs="Arial" w:eastAsia="Arial" w:hAnsi="Arial"/>
                  <w:sz w:val="18"/>
                  <w:szCs w:val="18"/>
                  <w:color w:val="0000FF"/>
                </w:rPr>
                <w:t>001-07845)</w:t>
              </w:r>
            </w:hyperlink>
          </w:p>
        </w:tc>
        <w:tc>
          <w:tcPr>
            <w:tcW w:w="16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10.12.6*</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202">
              <w:r>
                <w:rPr>
                  <w:rFonts w:ascii="Arial" w:cs="Arial" w:eastAsia="Arial" w:hAnsi="Arial"/>
                  <w:sz w:val="18"/>
                  <w:szCs w:val="18"/>
                  <w:color w:val="0000FF"/>
                </w:rPr>
                <w:t>Form of Director Restricted Stock Agreement pursuant to the Company’s Flexible Stock Plan adopted February</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right w:val="single" w:sz="8" w:color="CCEEFF"/>
            </w:tcBorders>
            <w:shd w:val="clear" w:color="auto" w:fill="CCEEFF"/>
          </w:tcPr>
          <w:p>
            <w:pPr>
              <w:spacing w:after="0"/>
              <w:rPr>
                <w:sz w:val="13"/>
                <w:szCs w:val="13"/>
                <w:color w:val="auto"/>
              </w:rPr>
            </w:pPr>
          </w:p>
        </w:tc>
        <w:tc>
          <w:tcPr>
            <w:tcW w:w="8780" w:type="dxa"/>
            <w:vAlign w:val="bottom"/>
            <w:tcBorders>
              <w:top w:val="single" w:sz="8" w:color="0000FF"/>
            </w:tcBorders>
            <w:gridSpan w:val="28"/>
            <w:shd w:val="clear" w:color="auto" w:fill="CCEEFF"/>
          </w:tcPr>
          <w:p>
            <w:pPr>
              <w:spacing w:after="0" w:line="154" w:lineRule="exact"/>
              <w:rPr>
                <w:rFonts w:ascii="Arial" w:cs="Arial" w:eastAsia="Arial" w:hAnsi="Arial"/>
                <w:sz w:val="17"/>
                <w:szCs w:val="17"/>
                <w:color w:val="0000FF"/>
              </w:rPr>
            </w:pPr>
            <w:hyperlink r:id="rId202">
              <w:r>
                <w:rPr>
                  <w:rFonts w:ascii="Arial" w:cs="Arial" w:eastAsia="Arial" w:hAnsi="Arial"/>
                  <w:sz w:val="17"/>
                  <w:szCs w:val="17"/>
                  <w:color w:val="0000FF"/>
                </w:rPr>
                <w:t>25, 2025, filed February 26, 2025 as Exhibit 10.12.5 to the Company's Form 10-K, is incorporated herein by</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6"/>
            <w:shd w:val="clear" w:color="auto" w:fill="CCEEFF"/>
          </w:tcPr>
          <w:p>
            <w:pPr>
              <w:spacing w:after="0"/>
              <w:rPr>
                <w:sz w:val="13"/>
                <w:szCs w:val="13"/>
                <w:color w:val="auto"/>
              </w:rPr>
            </w:pPr>
          </w:p>
        </w:tc>
      </w:tr>
      <w:tr>
        <w:trPr>
          <w:trHeight w:val="188"/>
        </w:trPr>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900" w:type="dxa"/>
            <w:vAlign w:val="bottom"/>
            <w:tcBorders>
              <w:top w:val="single" w:sz="8" w:color="0000FF"/>
              <w:bottom w:val="single" w:sz="8" w:color="0000FF"/>
            </w:tcBorders>
            <w:gridSpan w:val="4"/>
            <w:shd w:val="clear" w:color="auto" w:fill="CCEEFF"/>
          </w:tcPr>
          <w:p>
            <w:pPr>
              <w:spacing w:after="0" w:line="168"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reference. (SEC File No. 001-07845)</w:t>
              </w:r>
            </w:hyperlink>
          </w:p>
        </w:tc>
        <w:tc>
          <w:tcPr>
            <w:tcW w:w="558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6"/>
            <w:shd w:val="clear" w:color="auto" w:fill="CCEEFF"/>
          </w:tcPr>
          <w:p>
            <w:pPr>
              <w:spacing w:after="0"/>
              <w:rPr>
                <w:sz w:val="16"/>
                <w:szCs w:val="16"/>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10.12.7*</w:t>
            </w:r>
          </w:p>
        </w:tc>
        <w:tc>
          <w:tcPr>
            <w:tcW w:w="640" w:type="dxa"/>
            <w:vAlign w:val="bottom"/>
          </w:tcPr>
          <w:p>
            <w:pPr>
              <w:spacing w:after="0"/>
              <w:rPr>
                <w:sz w:val="16"/>
                <w:szCs w:val="16"/>
                <w:color w:val="auto"/>
              </w:rPr>
            </w:pPr>
          </w:p>
        </w:tc>
        <w:tc>
          <w:tcPr>
            <w:tcW w:w="8940" w:type="dxa"/>
            <w:vAlign w:val="bottom"/>
            <w:gridSpan w:val="37"/>
          </w:tcPr>
          <w:p>
            <w:pPr>
              <w:spacing w:after="0" w:line="188" w:lineRule="exact"/>
              <w:rPr>
                <w:rFonts w:ascii="Arial" w:cs="Arial" w:eastAsia="Arial" w:hAnsi="Arial"/>
                <w:sz w:val="18"/>
                <w:szCs w:val="18"/>
                <w:color w:val="0000FF"/>
              </w:rPr>
            </w:pPr>
            <w:hyperlink r:id="rId203">
              <w:r>
                <w:rPr>
                  <w:rFonts w:ascii="Arial" w:cs="Arial" w:eastAsia="Arial" w:hAnsi="Arial"/>
                  <w:sz w:val="18"/>
                  <w:szCs w:val="18"/>
                  <w:color w:val="0000FF"/>
                </w:rPr>
                <w:t>Form of Director Restricted Stock Unit Award Agreement pursuant to the Company’s Flexible Stock Plan, filed</w:t>
              </w:r>
            </w:hyperlink>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740" w:type="dxa"/>
            <w:vAlign w:val="bottom"/>
            <w:tcBorders>
              <w:top w:val="single" w:sz="8" w:color="0000FF"/>
            </w:tcBorders>
            <w:gridSpan w:val="26"/>
          </w:tcPr>
          <w:p>
            <w:pPr>
              <w:spacing w:after="0" w:line="154" w:lineRule="exact"/>
              <w:rPr>
                <w:rFonts w:ascii="Arial" w:cs="Arial" w:eastAsia="Arial" w:hAnsi="Arial"/>
                <w:sz w:val="17"/>
                <w:szCs w:val="17"/>
                <w:color w:val="0000FF"/>
              </w:rPr>
            </w:pPr>
            <w:hyperlink r:id="rId203">
              <w:r>
                <w:rPr>
                  <w:rFonts w:ascii="Arial" w:cs="Arial" w:eastAsia="Arial" w:hAnsi="Arial"/>
                  <w:sz w:val="17"/>
                  <w:szCs w:val="17"/>
                  <w:color w:val="0000FF"/>
                </w:rPr>
                <w:t>February 24, 2012 as Exhibit 10.9.7 to the Company's Form 10-K for the year ended December 31, 2011, is</w:t>
              </w:r>
            </w:hyperlink>
          </w:p>
        </w:tc>
        <w:tc>
          <w:tcPr>
            <w:tcW w:w="100" w:type="dxa"/>
            <w:vAlign w:val="bottom"/>
            <w:gridSpan w:val="5"/>
          </w:tcPr>
          <w:p>
            <w:pPr>
              <w:spacing w:after="0"/>
              <w:rPr>
                <w:sz w:val="13"/>
                <w:szCs w:val="13"/>
                <w:color w:val="auto"/>
              </w:rPr>
            </w:pPr>
          </w:p>
        </w:tc>
        <w:tc>
          <w:tcPr>
            <w:tcW w:w="100" w:type="dxa"/>
            <w:vAlign w:val="bottom"/>
            <w:gridSpan w:val="6"/>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00" w:type="dxa"/>
            <w:vAlign w:val="bottom"/>
            <w:tcBorders>
              <w:top w:val="single" w:sz="8" w:color="0000FF"/>
            </w:tcBorders>
            <w:gridSpan w:val="15"/>
          </w:tcPr>
          <w:p>
            <w:pPr>
              <w:spacing w:after="0" w:line="168" w:lineRule="exact"/>
              <w:rPr>
                <w:rFonts w:ascii="Arial" w:cs="Arial" w:eastAsia="Arial" w:hAnsi="Arial"/>
                <w:sz w:val="18"/>
                <w:szCs w:val="18"/>
                <w:color w:val="0000FF"/>
              </w:rPr>
            </w:pPr>
            <w:hyperlink r:id="rId203">
              <w:r>
                <w:rPr>
                  <w:rFonts w:ascii="Arial" w:cs="Arial" w:eastAsia="Arial" w:hAnsi="Arial"/>
                  <w:sz w:val="18"/>
                  <w:szCs w:val="18"/>
                  <w:color w:val="0000FF"/>
                </w:rPr>
                <w:t>incorporated herein by reference. (SEC File No. 001-07845)</w:t>
              </w:r>
            </w:hyperlink>
          </w:p>
        </w:tc>
        <w:tc>
          <w:tcPr>
            <w:tcW w:w="100" w:type="dxa"/>
            <w:vAlign w:val="bottom"/>
            <w:gridSpan w:val="4"/>
          </w:tcPr>
          <w:p>
            <w:pPr>
              <w:spacing w:after="0"/>
              <w:rPr>
                <w:sz w:val="14"/>
                <w:szCs w:val="14"/>
                <w:color w:val="auto"/>
              </w:rPr>
            </w:pPr>
          </w:p>
        </w:tc>
        <w:tc>
          <w:tcPr>
            <w:tcW w:w="240" w:type="dxa"/>
            <w:vAlign w:val="bottom"/>
            <w:gridSpan w:val="12"/>
          </w:tcPr>
          <w:p>
            <w:pPr>
              <w:spacing w:after="0"/>
              <w:rPr>
                <w:sz w:val="14"/>
                <w:szCs w:val="14"/>
                <w:color w:val="auto"/>
              </w:rPr>
            </w:pPr>
          </w:p>
        </w:tc>
        <w:tc>
          <w:tcPr>
            <w:tcW w:w="100" w:type="dxa"/>
            <w:vAlign w:val="bottom"/>
            <w:gridSpan w:val="6"/>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10.12.8*</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204">
              <w:r>
                <w:rPr>
                  <w:rFonts w:ascii="Arial" w:cs="Arial" w:eastAsia="Arial" w:hAnsi="Arial"/>
                  <w:sz w:val="18"/>
                  <w:szCs w:val="18"/>
                  <w:color w:val="0000FF"/>
                </w:rPr>
                <w:t>2021 Form of Restricted Stock Unit Award Agreement pursuant to the Company's Flexible Stock Plan, filed</w:t>
              </w:r>
            </w:hyperlink>
          </w:p>
        </w:tc>
      </w:tr>
      <w:tr>
        <w:trPr>
          <w:trHeight w:val="20"/>
        </w:trPr>
        <w:tc>
          <w:tcPr>
            <w:tcW w:w="16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160" w:type="dxa"/>
            <w:vAlign w:val="bottom"/>
            <w:gridSpan w:val="7"/>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240" w:type="dxa"/>
            <w:vAlign w:val="bottom"/>
            <w:gridSpan w:val="12"/>
            <w:shd w:val="clear" w:color="auto" w:fill="CCEEFF"/>
          </w:tcPr>
          <w:p>
            <w:pPr>
              <w:spacing w:after="0" w:line="20" w:lineRule="exact"/>
              <w:rPr>
                <w:sz w:val="1"/>
                <w:szCs w:val="1"/>
                <w:color w:val="auto"/>
              </w:rPr>
            </w:pPr>
          </w:p>
        </w:tc>
        <w:tc>
          <w:tcPr>
            <w:tcW w:w="100" w:type="dxa"/>
            <w:vAlign w:val="bottom"/>
            <w:gridSpan w:val="6"/>
            <w:shd w:val="clear" w:color="auto" w:fill="CCEEFF"/>
          </w:tcPr>
          <w:p>
            <w:pPr>
              <w:spacing w:after="0" w:line="20" w:lineRule="exact"/>
              <w:rPr>
                <w:sz w:val="1"/>
                <w:szCs w:val="1"/>
                <w:color w:val="auto"/>
              </w:rPr>
            </w:pPr>
          </w:p>
        </w:tc>
      </w:tr>
      <w:tr>
        <w:trPr>
          <w:trHeight w:val="154"/>
        </w:trPr>
        <w:tc>
          <w:tcPr>
            <w:tcW w:w="16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8940" w:type="dxa"/>
            <w:vAlign w:val="bottom"/>
            <w:gridSpan w:val="37"/>
            <w:shd w:val="clear" w:color="auto" w:fill="CCEEFF"/>
          </w:tcPr>
          <w:p>
            <w:pPr>
              <w:spacing w:after="0" w:line="154" w:lineRule="exact"/>
              <w:rPr>
                <w:rFonts w:ascii="Arial" w:cs="Arial" w:eastAsia="Arial" w:hAnsi="Arial"/>
                <w:sz w:val="17"/>
                <w:szCs w:val="17"/>
                <w:color w:val="0000FF"/>
              </w:rPr>
            </w:pPr>
            <w:hyperlink r:id="rId204">
              <w:r>
                <w:rPr>
                  <w:rFonts w:ascii="Arial" w:cs="Arial" w:eastAsia="Arial" w:hAnsi="Arial"/>
                  <w:sz w:val="17"/>
                  <w:szCs w:val="17"/>
                  <w:color w:val="0000FF"/>
                </w:rPr>
                <w:t>February 24, 2021 as Exhibit 10.6 to the Company’s Form 8-K, is incorporated herein by reference. (SEC File</w:t>
              </w:r>
            </w:hyperlink>
          </w:p>
        </w:tc>
      </w:tr>
      <w:tr>
        <w:trPr>
          <w:trHeight w:val="188"/>
        </w:trPr>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0000FF"/>
            </w:tcBorders>
            <w:gridSpan w:val="3"/>
            <w:shd w:val="clear" w:color="auto" w:fill="CCEEFF"/>
          </w:tcPr>
          <w:p>
            <w:pPr>
              <w:spacing w:after="0" w:line="168"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No. 001-07845)</w:t>
              </w:r>
            </w:hyperlink>
          </w:p>
        </w:tc>
        <w:tc>
          <w:tcPr>
            <w:tcW w:w="742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6"/>
            <w:shd w:val="clear" w:color="auto" w:fill="CCEEFF"/>
          </w:tcPr>
          <w:p>
            <w:pPr>
              <w:spacing w:after="0"/>
              <w:rPr>
                <w:sz w:val="16"/>
                <w:szCs w:val="16"/>
                <w:color w:val="auto"/>
              </w:rPr>
            </w:pPr>
          </w:p>
        </w:tc>
      </w:tr>
      <w:tr>
        <w:trPr>
          <w:trHeight w:val="188"/>
        </w:trPr>
        <w:tc>
          <w:tcPr>
            <w:tcW w:w="1660" w:type="dxa"/>
            <w:vAlign w:val="bottom"/>
          </w:tcPr>
          <w:p>
            <w:pPr>
              <w:ind w:left="20"/>
              <w:spacing w:after="0" w:line="188" w:lineRule="exact"/>
              <w:rPr>
                <w:sz w:val="20"/>
                <w:szCs w:val="20"/>
                <w:color w:val="auto"/>
              </w:rPr>
            </w:pPr>
            <w:r>
              <w:rPr>
                <w:rFonts w:ascii="Arial" w:cs="Arial" w:eastAsia="Arial" w:hAnsi="Arial"/>
                <w:sz w:val="18"/>
                <w:szCs w:val="18"/>
                <w:color w:val="auto"/>
              </w:rPr>
              <w:t>10.13*</w:t>
            </w:r>
          </w:p>
        </w:tc>
        <w:tc>
          <w:tcPr>
            <w:tcW w:w="640" w:type="dxa"/>
            <w:vAlign w:val="bottom"/>
          </w:tcPr>
          <w:p>
            <w:pPr>
              <w:spacing w:after="0"/>
              <w:rPr>
                <w:sz w:val="16"/>
                <w:szCs w:val="16"/>
                <w:color w:val="auto"/>
              </w:rPr>
            </w:pPr>
          </w:p>
        </w:tc>
        <w:tc>
          <w:tcPr>
            <w:tcW w:w="8940" w:type="dxa"/>
            <w:vAlign w:val="bottom"/>
            <w:gridSpan w:val="37"/>
          </w:tcPr>
          <w:p>
            <w:pPr>
              <w:spacing w:after="0" w:line="188" w:lineRule="exact"/>
              <w:rPr>
                <w:rFonts w:ascii="Arial" w:cs="Arial" w:eastAsia="Arial" w:hAnsi="Arial"/>
                <w:sz w:val="18"/>
                <w:szCs w:val="18"/>
                <w:color w:val="0000FF"/>
              </w:rPr>
            </w:pPr>
            <w:hyperlink r:id="rId205">
              <w:r>
                <w:rPr>
                  <w:rFonts w:ascii="Arial" w:cs="Arial" w:eastAsia="Arial" w:hAnsi="Arial"/>
                  <w:sz w:val="18"/>
                  <w:szCs w:val="18"/>
                  <w:color w:val="0000FF"/>
                </w:rPr>
                <w:t>The Company’s Key Officers Incentive Plan, amended and restated, effective February 26, 2024, filed February</w:t>
              </w:r>
            </w:hyperlink>
          </w:p>
        </w:tc>
      </w:tr>
      <w:tr>
        <w:trPr>
          <w:trHeight w:val="154"/>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40" w:type="dxa"/>
            <w:vAlign w:val="bottom"/>
            <w:tcBorders>
              <w:top w:val="single" w:sz="8" w:color="0000FF"/>
            </w:tcBorders>
            <w:gridSpan w:val="31"/>
          </w:tcPr>
          <w:p>
            <w:pPr>
              <w:spacing w:after="0" w:line="154" w:lineRule="exact"/>
              <w:rPr>
                <w:rFonts w:ascii="Arial" w:cs="Arial" w:eastAsia="Arial" w:hAnsi="Arial"/>
                <w:sz w:val="17"/>
                <w:szCs w:val="17"/>
                <w:color w:val="0000FF"/>
              </w:rPr>
            </w:pPr>
            <w:hyperlink r:id="rId205">
              <w:r>
                <w:rPr>
                  <w:rFonts w:ascii="Arial" w:cs="Arial" w:eastAsia="Arial" w:hAnsi="Arial"/>
                  <w:sz w:val="17"/>
                  <w:szCs w:val="17"/>
                  <w:color w:val="0000FF"/>
                </w:rPr>
                <w:t>28, 2024 as Exhibit 10.2 to the Company’s Form 8-K, is incorporated herein by reference. (SEC File No. 001-</w:t>
              </w:r>
            </w:hyperlink>
          </w:p>
        </w:tc>
        <w:tc>
          <w:tcPr>
            <w:tcW w:w="100" w:type="dxa"/>
            <w:vAlign w:val="bottom"/>
            <w:gridSpan w:val="6"/>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68"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07845)</w:t>
              </w:r>
            </w:hyperlink>
          </w:p>
        </w:tc>
        <w:tc>
          <w:tcPr>
            <w:tcW w:w="3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6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10.14*</w:t>
            </w:r>
          </w:p>
        </w:tc>
        <w:tc>
          <w:tcPr>
            <w:tcW w:w="640" w:type="dxa"/>
            <w:vAlign w:val="bottom"/>
            <w:tcBorders>
              <w:right w:val="single" w:sz="8" w:color="CCEEFF"/>
            </w:tcBorders>
            <w:shd w:val="clear" w:color="auto" w:fill="CCEEFF"/>
          </w:tcPr>
          <w:p>
            <w:pPr>
              <w:spacing w:after="0"/>
              <w:rPr>
                <w:sz w:val="16"/>
                <w:szCs w:val="16"/>
                <w:color w:val="auto"/>
              </w:rPr>
            </w:pPr>
          </w:p>
        </w:tc>
        <w:tc>
          <w:tcPr>
            <w:tcW w:w="8940" w:type="dxa"/>
            <w:vAlign w:val="bottom"/>
            <w:gridSpan w:val="37"/>
            <w:shd w:val="clear" w:color="auto" w:fill="CCEEFF"/>
          </w:tcPr>
          <w:p>
            <w:pPr>
              <w:spacing w:after="0" w:line="188" w:lineRule="exact"/>
              <w:rPr>
                <w:rFonts w:ascii="Arial" w:cs="Arial" w:eastAsia="Arial" w:hAnsi="Arial"/>
                <w:sz w:val="18"/>
                <w:szCs w:val="18"/>
                <w:color w:val="0000FF"/>
              </w:rPr>
            </w:pPr>
            <w:hyperlink r:id="rId206">
              <w:r>
                <w:rPr>
                  <w:rFonts w:ascii="Arial" w:cs="Arial" w:eastAsia="Arial" w:hAnsi="Arial"/>
                  <w:sz w:val="18"/>
                  <w:szCs w:val="18"/>
                  <w:color w:val="0000FF"/>
                </w:rPr>
                <w:t>Company’s Key Officers Incentive Plan, effective June 21, 2023, filed June 22, 2023 as Exhibit 10.6 to the</w:t>
              </w:r>
            </w:hyperlink>
          </w:p>
        </w:tc>
      </w:tr>
      <w:tr>
        <w:trPr>
          <w:trHeight w:val="188"/>
        </w:trPr>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700" w:type="dxa"/>
            <w:vAlign w:val="bottom"/>
            <w:tcBorders>
              <w:top w:val="single" w:sz="8" w:color="0000FF"/>
              <w:bottom w:val="single" w:sz="8" w:color="0000FF"/>
            </w:tcBorders>
            <w:gridSpan w:val="8"/>
            <w:shd w:val="clear" w:color="auto" w:fill="CCEEFF"/>
          </w:tcPr>
          <w:p>
            <w:pPr>
              <w:spacing w:after="0" w:line="154" w:lineRule="exact"/>
              <w:rPr>
                <w:rFonts w:ascii="Arial" w:cs="Arial" w:eastAsia="Arial" w:hAnsi="Arial"/>
                <w:sz w:val="17"/>
                <w:szCs w:val="17"/>
                <w:color w:val="0000FF"/>
              </w:rPr>
            </w:pPr>
            <w:hyperlink r:id="rId206">
              <w:r>
                <w:rPr>
                  <w:rFonts w:ascii="Arial" w:cs="Arial" w:eastAsia="Arial" w:hAnsi="Arial"/>
                  <w:sz w:val="17"/>
                  <w:szCs w:val="17"/>
                  <w:color w:val="0000FF"/>
                </w:rPr>
                <w:t>Company’s Form 8-K, is incorporated herein by reference. (SEC File No. 001-07845)</w:t>
              </w:r>
            </w:hyperlink>
          </w:p>
        </w:tc>
        <w:tc>
          <w:tcPr>
            <w:tcW w:w="16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CCEEFF"/>
              <w:bottom w:val="single" w:sz="8" w:color="CCEEFF"/>
            </w:tcBorders>
            <w:gridSpan w:val="27"/>
            <w:shd w:val="clear" w:color="auto" w:fill="CCEEFF"/>
          </w:tcPr>
          <w:p>
            <w:pPr>
              <w:spacing w:after="0"/>
              <w:rPr>
                <w:sz w:val="16"/>
                <w:szCs w:val="16"/>
                <w:color w:val="auto"/>
              </w:rPr>
            </w:pPr>
          </w:p>
        </w:tc>
      </w:tr>
      <w:tr>
        <w:trPr>
          <w:trHeight w:val="820"/>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20" w:type="dxa"/>
            <w:vAlign w:val="bottom"/>
            <w:gridSpan w:val="6"/>
          </w:tcPr>
          <w:p>
            <w:pPr>
              <w:ind w:left="3180"/>
              <w:spacing w:after="0"/>
              <w:rPr>
                <w:sz w:val="20"/>
                <w:szCs w:val="20"/>
                <w:color w:val="auto"/>
              </w:rPr>
            </w:pPr>
            <w:r>
              <w:rPr>
                <w:rFonts w:ascii="Arial" w:cs="Arial" w:eastAsia="Arial" w:hAnsi="Arial"/>
                <w:sz w:val="18"/>
                <w:szCs w:val="18"/>
                <w:color w:val="auto"/>
              </w:rPr>
              <w:t>125</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6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8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700" w:type="dxa"/>
            <w:vAlign w:val="bottom"/>
            <w:gridSpan w:val="14"/>
          </w:tcPr>
          <w:p>
            <w:pPr>
              <w:ind w:left="2080"/>
              <w:spacing w:after="0"/>
              <w:rPr>
                <w:sz w:val="20"/>
                <w:szCs w:val="20"/>
                <w:color w:val="auto"/>
              </w:rPr>
            </w:pPr>
            <w:r>
              <w:rPr>
                <w:rFonts w:ascii="Arial" w:cs="Arial" w:eastAsia="Arial" w:hAnsi="Arial"/>
                <w:sz w:val="21"/>
                <w:szCs w:val="21"/>
                <w:b w:val="1"/>
                <w:bCs w:val="1"/>
                <w:color w:val="auto"/>
              </w:rPr>
              <w:t>Document Description</w:t>
            </w:r>
          </w:p>
        </w:tc>
      </w:tr>
      <w:tr>
        <w:trPr>
          <w:trHeight w:val="181"/>
        </w:trPr>
        <w:tc>
          <w:tcPr>
            <w:tcW w:w="1660" w:type="dxa"/>
            <w:vAlign w:val="bottom"/>
            <w:tcBorders>
              <w:top w:val="single" w:sz="8" w:color="auto"/>
            </w:tcBorders>
          </w:tcPr>
          <w:p>
            <w:pPr>
              <w:jc w:val="right"/>
              <w:ind w:right="1029"/>
              <w:spacing w:after="0" w:line="181" w:lineRule="exact"/>
              <w:rPr>
                <w:sz w:val="20"/>
                <w:szCs w:val="20"/>
                <w:color w:val="auto"/>
              </w:rPr>
            </w:pPr>
            <w:r>
              <w:rPr>
                <w:rFonts w:ascii="Arial" w:cs="Arial" w:eastAsia="Arial" w:hAnsi="Arial"/>
                <w:sz w:val="18"/>
                <w:szCs w:val="18"/>
                <w:color w:val="auto"/>
                <w:w w:val="99"/>
              </w:rPr>
              <w:t>10.15*</w:t>
            </w:r>
          </w:p>
        </w:tc>
        <w:tc>
          <w:tcPr>
            <w:tcW w:w="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40" w:type="dxa"/>
            <w:vAlign w:val="bottom"/>
            <w:tcBorders>
              <w:top w:val="single" w:sz="8" w:color="auto"/>
            </w:tcBorders>
            <w:gridSpan w:val="15"/>
          </w:tcPr>
          <w:p>
            <w:pPr>
              <w:spacing w:after="0" w:line="181" w:lineRule="exact"/>
              <w:rPr>
                <w:rFonts w:ascii="Arial" w:cs="Arial" w:eastAsia="Arial" w:hAnsi="Arial"/>
                <w:sz w:val="18"/>
                <w:szCs w:val="18"/>
                <w:color w:val="0000FF"/>
              </w:rPr>
            </w:pPr>
            <w:hyperlink r:id="rId209">
              <w:r>
                <w:rPr>
                  <w:rFonts w:ascii="Arial" w:cs="Arial" w:eastAsia="Arial" w:hAnsi="Arial"/>
                  <w:sz w:val="18"/>
                  <w:szCs w:val="18"/>
                  <w:color w:val="0000FF"/>
                </w:rPr>
                <w:t>The Company’s 2020 Key Officers Incentive Plan, effective January 1, 2020, filed February 19, 2020 as Exhibit</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209">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Form 8-K, is incorporated herein by reference. (SEC File No. 001-07845)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4"/>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6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1660" w:type="dxa"/>
            <w:vAlign w:val="bottom"/>
            <w:shd w:val="clear" w:color="auto" w:fill="CCEEFF"/>
          </w:tcPr>
          <w:p>
            <w:pPr>
              <w:jc w:val="right"/>
              <w:ind w:right="1029"/>
              <w:spacing w:after="0" w:line="188" w:lineRule="exact"/>
              <w:rPr>
                <w:sz w:val="20"/>
                <w:szCs w:val="20"/>
                <w:color w:val="auto"/>
              </w:rPr>
            </w:pPr>
            <w:r>
              <w:rPr>
                <w:rFonts w:ascii="Arial" w:cs="Arial" w:eastAsia="Arial" w:hAnsi="Arial"/>
                <w:sz w:val="18"/>
                <w:szCs w:val="18"/>
                <w:color w:val="auto"/>
                <w:w w:val="99"/>
              </w:rPr>
              <w:t>10.16*</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940" w:type="dxa"/>
            <w:vAlign w:val="bottom"/>
            <w:gridSpan w:val="15"/>
            <w:shd w:val="clear" w:color="auto" w:fill="CCEEFF"/>
          </w:tcPr>
          <w:p>
            <w:pPr>
              <w:spacing w:after="0" w:line="188" w:lineRule="exact"/>
              <w:rPr>
                <w:rFonts w:ascii="Arial" w:cs="Arial" w:eastAsia="Arial" w:hAnsi="Arial"/>
                <w:sz w:val="18"/>
                <w:szCs w:val="18"/>
                <w:color w:val="0000FF"/>
              </w:rPr>
            </w:pPr>
            <w:hyperlink r:id="rId210">
              <w:r>
                <w:rPr>
                  <w:rFonts w:ascii="Arial" w:cs="Arial" w:eastAsia="Arial" w:hAnsi="Arial"/>
                  <w:sz w:val="18"/>
                  <w:szCs w:val="18"/>
                  <w:color w:val="0000FF"/>
                </w:rPr>
                <w:t>2026 Award Formula under the Company’s Key Officers Incentive Plan, filed February 24, 2026 as Exhibit 10.2</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12"/>
            <w:shd w:val="clear" w:color="auto" w:fill="CCEEFF"/>
          </w:tcPr>
          <w:p>
            <w:pPr>
              <w:spacing w:after="0" w:line="154" w:lineRule="exact"/>
              <w:rPr>
                <w:rFonts w:ascii="Arial" w:cs="Arial" w:eastAsia="Arial" w:hAnsi="Arial"/>
                <w:sz w:val="17"/>
                <w:szCs w:val="17"/>
                <w:color w:val="0000FF"/>
              </w:rPr>
            </w:pPr>
            <w:hyperlink r:id="rId210">
              <w:r>
                <w:rPr>
                  <w:rFonts w:ascii="Arial" w:cs="Arial" w:eastAsia="Arial" w:hAnsi="Arial"/>
                  <w:sz w:val="17"/>
                  <w:szCs w:val="17"/>
                  <w:color w:val="0000FF"/>
                </w:rPr>
                <w:t>to the Company’s Form 8-K, is incorporated herein by reference. (SEC File No. 001-07845)</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34"/>
        </w:trPr>
        <w:tc>
          <w:tcPr>
            <w:tcW w:w="16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56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8"/>
        </w:trPr>
        <w:tc>
          <w:tcPr>
            <w:tcW w:w="1660" w:type="dxa"/>
            <w:vAlign w:val="bottom"/>
          </w:tcPr>
          <w:p>
            <w:pPr>
              <w:jc w:val="right"/>
              <w:ind w:right="1029"/>
              <w:spacing w:after="0" w:line="188" w:lineRule="exact"/>
              <w:rPr>
                <w:sz w:val="20"/>
                <w:szCs w:val="20"/>
                <w:color w:val="auto"/>
              </w:rPr>
            </w:pPr>
            <w:r>
              <w:rPr>
                <w:rFonts w:ascii="Arial" w:cs="Arial" w:eastAsia="Arial" w:hAnsi="Arial"/>
                <w:sz w:val="18"/>
                <w:szCs w:val="18"/>
                <w:color w:val="auto"/>
                <w:w w:val="99"/>
              </w:rPr>
              <w:t>10.17*</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40" w:type="dxa"/>
            <w:vAlign w:val="bottom"/>
            <w:gridSpan w:val="15"/>
          </w:tcPr>
          <w:p>
            <w:pPr>
              <w:spacing w:after="0" w:line="188" w:lineRule="exact"/>
              <w:rPr>
                <w:rFonts w:ascii="Arial" w:cs="Arial" w:eastAsia="Arial" w:hAnsi="Arial"/>
                <w:sz w:val="18"/>
                <w:szCs w:val="18"/>
                <w:color w:val="0000FF"/>
              </w:rPr>
            </w:pPr>
            <w:hyperlink r:id="rId211">
              <w:r>
                <w:rPr>
                  <w:rFonts w:ascii="Arial" w:cs="Arial" w:eastAsia="Arial" w:hAnsi="Arial"/>
                  <w:sz w:val="18"/>
                  <w:szCs w:val="18"/>
                  <w:color w:val="0000FF"/>
                </w:rPr>
                <w:t>2025 Award Formula under the Company’s Key Officers Incentive Plan, filed February 28, 2025 as Exhibit 10.2</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211">
              <w:r>
                <w:rPr>
                  <w:rFonts w:ascii="Arial" w:cs="Arial" w:eastAsia="Arial" w:hAnsi="Arial"/>
                  <w:sz w:val="17"/>
                  <w:szCs w:val="17"/>
                  <w:color w:val="0000FF"/>
                </w:rPr>
                <w:t>to the Company’s Form 8-K, is incorporated herein by reference. (SEC File No. 001-07845)</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4"/>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6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1660" w:type="dxa"/>
            <w:vAlign w:val="bottom"/>
            <w:shd w:val="clear" w:color="auto" w:fill="CCEEFF"/>
          </w:tcPr>
          <w:p>
            <w:pPr>
              <w:jc w:val="right"/>
              <w:ind w:right="1029"/>
              <w:spacing w:after="0" w:line="188" w:lineRule="exact"/>
              <w:rPr>
                <w:sz w:val="20"/>
                <w:szCs w:val="20"/>
                <w:color w:val="auto"/>
              </w:rPr>
            </w:pPr>
            <w:r>
              <w:rPr>
                <w:rFonts w:ascii="Arial" w:cs="Arial" w:eastAsia="Arial" w:hAnsi="Arial"/>
                <w:sz w:val="18"/>
                <w:szCs w:val="18"/>
                <w:color w:val="auto"/>
                <w:w w:val="99"/>
              </w:rPr>
              <w:t>10.18*</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940" w:type="dxa"/>
            <w:vAlign w:val="bottom"/>
            <w:gridSpan w:val="15"/>
            <w:shd w:val="clear" w:color="auto" w:fill="CCEEFF"/>
          </w:tcPr>
          <w:p>
            <w:pPr>
              <w:spacing w:after="0" w:line="188" w:lineRule="exact"/>
              <w:rPr>
                <w:rFonts w:ascii="Arial" w:cs="Arial" w:eastAsia="Arial" w:hAnsi="Arial"/>
                <w:sz w:val="18"/>
                <w:szCs w:val="18"/>
                <w:color w:val="0000FF"/>
              </w:rPr>
            </w:pPr>
            <w:hyperlink r:id="rId212">
              <w:r>
                <w:rPr>
                  <w:rFonts w:ascii="Arial" w:cs="Arial" w:eastAsia="Arial" w:hAnsi="Arial"/>
                  <w:sz w:val="18"/>
                  <w:szCs w:val="18"/>
                  <w:color w:val="0000FF"/>
                </w:rPr>
                <w:t>2024 Award Formula under the Company's Key Officers Incentive Plan, filed February 28, 2024 as Exhibit 10.3</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780" w:type="dxa"/>
            <w:vAlign w:val="bottom"/>
            <w:tcBorders>
              <w:top w:val="single" w:sz="8" w:color="0000FF"/>
            </w:tcBorders>
            <w:gridSpan w:val="11"/>
            <w:shd w:val="clear" w:color="auto" w:fill="CCEEFF"/>
          </w:tcPr>
          <w:p>
            <w:pPr>
              <w:spacing w:after="0" w:line="154" w:lineRule="exact"/>
              <w:rPr>
                <w:rFonts w:ascii="Arial" w:cs="Arial" w:eastAsia="Arial" w:hAnsi="Arial"/>
                <w:sz w:val="17"/>
                <w:szCs w:val="17"/>
                <w:color w:val="0000FF"/>
              </w:rPr>
            </w:pPr>
            <w:hyperlink r:id="rId212">
              <w:r>
                <w:rPr>
                  <w:rFonts w:ascii="Arial" w:cs="Arial" w:eastAsia="Arial" w:hAnsi="Arial"/>
                  <w:sz w:val="17"/>
                  <w:szCs w:val="17"/>
                  <w:color w:val="0000FF"/>
                </w:rPr>
                <w:t>to Company's Form 8-K, is incorporated herein by reference. (SEC File No. 001-07845)</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34"/>
        </w:trPr>
        <w:tc>
          <w:tcPr>
            <w:tcW w:w="16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56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8"/>
        </w:trPr>
        <w:tc>
          <w:tcPr>
            <w:tcW w:w="1660" w:type="dxa"/>
            <w:vAlign w:val="bottom"/>
          </w:tcPr>
          <w:p>
            <w:pPr>
              <w:jc w:val="right"/>
              <w:ind w:right="1029"/>
              <w:spacing w:after="0" w:line="188" w:lineRule="exact"/>
              <w:rPr>
                <w:sz w:val="20"/>
                <w:szCs w:val="20"/>
                <w:color w:val="auto"/>
              </w:rPr>
            </w:pPr>
            <w:r>
              <w:rPr>
                <w:rFonts w:ascii="Arial" w:cs="Arial" w:eastAsia="Arial" w:hAnsi="Arial"/>
                <w:sz w:val="18"/>
                <w:szCs w:val="18"/>
                <w:color w:val="auto"/>
                <w:w w:val="99"/>
              </w:rPr>
              <w:t>10.19*</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40" w:type="dxa"/>
            <w:vAlign w:val="bottom"/>
            <w:gridSpan w:val="15"/>
          </w:tcPr>
          <w:p>
            <w:pPr>
              <w:spacing w:after="0" w:line="188" w:lineRule="exact"/>
              <w:rPr>
                <w:rFonts w:ascii="Arial" w:cs="Arial" w:eastAsia="Arial" w:hAnsi="Arial"/>
                <w:sz w:val="18"/>
                <w:szCs w:val="18"/>
                <w:color w:val="0000FF"/>
              </w:rPr>
            </w:pPr>
            <w:hyperlink r:id="rId213">
              <w:r>
                <w:rPr>
                  <w:rFonts w:ascii="Arial" w:cs="Arial" w:eastAsia="Arial" w:hAnsi="Arial"/>
                  <w:sz w:val="18"/>
                  <w:szCs w:val="18"/>
                  <w:color w:val="0000FF"/>
                </w:rPr>
                <w:t>2023 Award Formula under the Company's 2020 Key Officers Incentive Plan, filed March 10, 2023 as Exhibit</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8"/>
          </w:tcPr>
          <w:p>
            <w:pPr>
              <w:spacing w:after="0" w:line="154" w:lineRule="exact"/>
              <w:rPr>
                <w:rFonts w:ascii="Arial" w:cs="Arial" w:eastAsia="Arial" w:hAnsi="Arial"/>
                <w:sz w:val="17"/>
                <w:szCs w:val="17"/>
                <w:color w:val="0000FF"/>
              </w:rPr>
            </w:pPr>
            <w:hyperlink r:id="rId213">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Company's Form 8-K, is incorporated herein by reference. (SEC File No. 001-07845)</w:t>
              </w:r>
            </w:hyperlink>
          </w:p>
        </w:tc>
        <w:tc>
          <w:tcPr>
            <w:tcW w:w="2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4"/>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6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1660" w:type="dxa"/>
            <w:vAlign w:val="bottom"/>
            <w:shd w:val="clear" w:color="auto" w:fill="CCEEFF"/>
          </w:tcPr>
          <w:p>
            <w:pPr>
              <w:jc w:val="right"/>
              <w:ind w:right="1029"/>
              <w:spacing w:after="0" w:line="188" w:lineRule="exact"/>
              <w:rPr>
                <w:sz w:val="20"/>
                <w:szCs w:val="20"/>
                <w:color w:val="auto"/>
              </w:rPr>
            </w:pPr>
            <w:r>
              <w:rPr>
                <w:rFonts w:ascii="Arial" w:cs="Arial" w:eastAsia="Arial" w:hAnsi="Arial"/>
                <w:sz w:val="18"/>
                <w:szCs w:val="18"/>
                <w:color w:val="auto"/>
                <w:w w:val="99"/>
              </w:rPr>
              <w:t>10.20*</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940" w:type="dxa"/>
            <w:vAlign w:val="bottom"/>
            <w:gridSpan w:val="15"/>
            <w:shd w:val="clear" w:color="auto" w:fill="CCEEFF"/>
          </w:tcPr>
          <w:p>
            <w:pPr>
              <w:spacing w:after="0" w:line="188"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The Company’s Deferred Compensation Program, effective October 30, 2024, filed November 1, 2024 as Exhibit</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80" w:type="dxa"/>
            <w:vAlign w:val="bottom"/>
            <w:tcBorders>
              <w:top w:val="single" w:sz="8" w:color="0000FF"/>
            </w:tcBorders>
            <w:gridSpan w:val="14"/>
            <w:shd w:val="clear" w:color="auto" w:fill="CCEEFF"/>
          </w:tcPr>
          <w:p>
            <w:pPr>
              <w:spacing w:after="0" w:line="154" w:lineRule="exact"/>
              <w:rPr>
                <w:rFonts w:ascii="Arial" w:cs="Arial" w:eastAsia="Arial" w:hAnsi="Arial"/>
                <w:sz w:val="17"/>
                <w:szCs w:val="17"/>
                <w:color w:val="0000FF"/>
              </w:rPr>
            </w:pPr>
            <w:hyperlink r:id="rId214">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Form 8-K, is incorporated herein by reference. (SEC File No. 001-07845)</w:t>
              </w:r>
            </w:hyperlink>
          </w:p>
        </w:tc>
        <w:tc>
          <w:tcPr>
            <w:tcW w:w="60" w:type="dxa"/>
            <w:vAlign w:val="bottom"/>
            <w:tcBorders>
              <w:top w:val="single" w:sz="8" w:color="CCEEFF"/>
            </w:tcBorders>
            <w:shd w:val="clear" w:color="auto" w:fill="CCEEFF"/>
          </w:tcPr>
          <w:p>
            <w:pPr>
              <w:spacing w:after="0"/>
              <w:rPr>
                <w:sz w:val="13"/>
                <w:szCs w:val="13"/>
                <w:color w:val="auto"/>
              </w:rPr>
            </w:pPr>
          </w:p>
        </w:tc>
      </w:tr>
      <w:tr>
        <w:trPr>
          <w:trHeight w:val="34"/>
        </w:trPr>
        <w:tc>
          <w:tcPr>
            <w:tcW w:w="16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56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8"/>
        </w:trPr>
        <w:tc>
          <w:tcPr>
            <w:tcW w:w="1660" w:type="dxa"/>
            <w:vAlign w:val="bottom"/>
          </w:tcPr>
          <w:p>
            <w:pPr>
              <w:jc w:val="right"/>
              <w:ind w:right="1029"/>
              <w:spacing w:after="0" w:line="188" w:lineRule="exact"/>
              <w:rPr>
                <w:sz w:val="20"/>
                <w:szCs w:val="20"/>
                <w:color w:val="auto"/>
              </w:rPr>
            </w:pPr>
            <w:r>
              <w:rPr>
                <w:rFonts w:ascii="Arial" w:cs="Arial" w:eastAsia="Arial" w:hAnsi="Arial"/>
                <w:sz w:val="18"/>
                <w:szCs w:val="18"/>
                <w:color w:val="auto"/>
                <w:w w:val="99"/>
              </w:rPr>
              <w:t>10.21*</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40" w:type="dxa"/>
            <w:vAlign w:val="bottom"/>
            <w:gridSpan w:val="15"/>
          </w:tcPr>
          <w:p>
            <w:pPr>
              <w:spacing w:after="0" w:line="188" w:lineRule="exact"/>
              <w:rPr>
                <w:rFonts w:ascii="Arial" w:cs="Arial" w:eastAsia="Arial" w:hAnsi="Arial"/>
                <w:sz w:val="18"/>
                <w:szCs w:val="18"/>
                <w:color w:val="0000FF"/>
              </w:rPr>
            </w:pPr>
            <w:hyperlink r:id="rId215">
              <w:r>
                <w:rPr>
                  <w:rFonts w:ascii="Arial" w:cs="Arial" w:eastAsia="Arial" w:hAnsi="Arial"/>
                  <w:sz w:val="18"/>
                  <w:szCs w:val="18"/>
                  <w:color w:val="0000FF"/>
                </w:rPr>
                <w:t>The Company’s Deferred Compensation Program, effective November 6, 2017, filed November 9, 2017 as</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7"/>
          </w:tcPr>
          <w:p>
            <w:pPr>
              <w:spacing w:after="0" w:line="154" w:lineRule="exact"/>
              <w:rPr>
                <w:rFonts w:ascii="Arial" w:cs="Arial" w:eastAsia="Arial" w:hAnsi="Arial"/>
                <w:sz w:val="17"/>
                <w:szCs w:val="17"/>
                <w:color w:val="0000FF"/>
              </w:rPr>
            </w:pPr>
            <w:hyperlink r:id="rId215">
              <w:r>
                <w:rPr>
                  <w:rFonts w:ascii="Arial" w:cs="Arial" w:eastAsia="Arial" w:hAnsi="Arial"/>
                  <w:sz w:val="17"/>
                  <w:szCs w:val="17"/>
                  <w:color w:val="0000FF"/>
                </w:rPr>
                <w:t>Exhibit 10.6 to the Company’s Form 8-K, is incorporated herein by reference. (SEC File No. 001-07845)</w:t>
              </w:r>
            </w:hyperlink>
          </w:p>
        </w:tc>
        <w:tc>
          <w:tcPr>
            <w:tcW w:w="3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4"/>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6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1660" w:type="dxa"/>
            <w:vAlign w:val="bottom"/>
            <w:shd w:val="clear" w:color="auto" w:fill="CCEEFF"/>
          </w:tcPr>
          <w:p>
            <w:pPr>
              <w:jc w:val="right"/>
              <w:ind w:right="1029"/>
              <w:spacing w:after="0"/>
              <w:rPr>
                <w:sz w:val="20"/>
                <w:szCs w:val="20"/>
                <w:color w:val="auto"/>
              </w:rPr>
            </w:pPr>
            <w:r>
              <w:rPr>
                <w:rFonts w:ascii="Arial" w:cs="Arial" w:eastAsia="Arial" w:hAnsi="Arial"/>
                <w:sz w:val="18"/>
                <w:szCs w:val="18"/>
                <w:color w:val="auto"/>
                <w:w w:val="99"/>
              </w:rPr>
              <w:t>10.22*</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940" w:type="dxa"/>
            <w:vAlign w:val="bottom"/>
            <w:gridSpan w:val="15"/>
            <w:shd w:val="clear" w:color="auto" w:fill="CCEEFF"/>
          </w:tcPr>
          <w:p>
            <w:pPr>
              <w:spacing w:after="0"/>
              <w:rPr>
                <w:rFonts w:ascii="Arial" w:cs="Arial" w:eastAsia="Arial" w:hAnsi="Arial"/>
                <w:sz w:val="18"/>
                <w:szCs w:val="18"/>
                <w:color w:val="0000FF"/>
              </w:rPr>
            </w:pPr>
            <w:hyperlink r:id="rId216">
              <w:r>
                <w:rPr>
                  <w:rFonts w:ascii="Arial" w:cs="Arial" w:eastAsia="Arial" w:hAnsi="Arial"/>
                  <w:sz w:val="18"/>
                  <w:szCs w:val="18"/>
                  <w:color w:val="0000FF"/>
                </w:rPr>
                <w:t>The Company’s 2005 Executive Stock Unit Program, as amended and restated, effective January 1, 2023, filed</w:t>
              </w:r>
            </w:hyperlink>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0000FF"/>
            </w:tcBorders>
            <w:gridSpan w:val="13"/>
            <w:shd w:val="clear" w:color="auto" w:fill="CCEEFF"/>
          </w:tcPr>
          <w:p>
            <w:pPr>
              <w:spacing w:after="0" w:line="154" w:lineRule="exact"/>
              <w:rPr>
                <w:rFonts w:ascii="Arial" w:cs="Arial" w:eastAsia="Arial" w:hAnsi="Arial"/>
                <w:sz w:val="17"/>
                <w:szCs w:val="17"/>
                <w:color w:val="0000FF"/>
              </w:rPr>
            </w:pPr>
            <w:hyperlink r:id="rId216">
              <w:r>
                <w:rPr>
                  <w:rFonts w:ascii="Arial" w:cs="Arial" w:eastAsia="Arial" w:hAnsi="Arial"/>
                  <w:sz w:val="17"/>
                  <w:szCs w:val="17"/>
                  <w:color w:val="0000FF"/>
                </w:rPr>
                <w:t>November 21, 2022 as Exhibit 10.1 to the Company’s Form 8-K, is incorporated herein by reference. (SEC File</w:t>
              </w:r>
            </w:hyperlink>
          </w:p>
        </w:tc>
        <w:tc>
          <w:tcPr>
            <w:tcW w:w="120" w:type="dxa"/>
            <w:vAlign w:val="bottom"/>
            <w:tcBorders>
              <w:top w:val="single" w:sz="8" w:color="CCEEFF"/>
            </w:tcBorders>
            <w:gridSpan w:val="2"/>
            <w:shd w:val="clear" w:color="auto" w:fill="CCEEFF"/>
          </w:tcPr>
          <w:p>
            <w:pPr>
              <w:spacing w:after="0"/>
              <w:rPr>
                <w:sz w:val="13"/>
                <w:szCs w:val="13"/>
                <w:color w:val="auto"/>
              </w:rPr>
            </w:pPr>
          </w:p>
        </w:tc>
      </w:tr>
      <w:tr>
        <w:trPr>
          <w:trHeight w:val="154"/>
        </w:trPr>
        <w:tc>
          <w:tcPr>
            <w:tcW w:w="16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760" w:type="dxa"/>
            <w:vAlign w:val="bottom"/>
            <w:tcBorders>
              <w:top w:val="single" w:sz="8" w:color="0000FF"/>
            </w:tcBorders>
            <w:gridSpan w:val="10"/>
            <w:shd w:val="clear" w:color="auto" w:fill="CCEEFF"/>
          </w:tcPr>
          <w:p>
            <w:pPr>
              <w:spacing w:after="0" w:line="154" w:lineRule="exact"/>
              <w:rPr>
                <w:rFonts w:ascii="Arial" w:cs="Arial" w:eastAsia="Arial" w:hAnsi="Arial"/>
                <w:sz w:val="17"/>
                <w:szCs w:val="17"/>
                <w:color w:val="0000FF"/>
              </w:rPr>
            </w:pPr>
            <w:hyperlink r:id="rId216">
              <w:r>
                <w:rPr>
                  <w:rFonts w:ascii="Arial" w:cs="Arial" w:eastAsia="Arial" w:hAnsi="Arial"/>
                  <w:sz w:val="17"/>
                  <w:szCs w:val="17"/>
                  <w:color w:val="0000FF"/>
                </w:rPr>
                <w:t>No. 001-07845)</w:t>
              </w:r>
            </w:hyperlink>
          </w:p>
        </w:tc>
        <w:tc>
          <w:tcPr>
            <w:tcW w:w="180" w:type="dxa"/>
            <w:vAlign w:val="bottom"/>
            <w:tcBorders>
              <w:top w:val="single" w:sz="8" w:color="CCEEFF"/>
            </w:tcBorders>
            <w:gridSpan w:val="5"/>
            <w:shd w:val="clear" w:color="auto" w:fill="CCEEFF"/>
          </w:tcPr>
          <w:p>
            <w:pPr>
              <w:spacing w:after="0"/>
              <w:rPr>
                <w:sz w:val="13"/>
                <w:szCs w:val="13"/>
                <w:color w:val="auto"/>
              </w:rPr>
            </w:pPr>
          </w:p>
        </w:tc>
      </w:tr>
      <w:tr>
        <w:trPr>
          <w:trHeight w:val="34"/>
        </w:trPr>
        <w:tc>
          <w:tcPr>
            <w:tcW w:w="16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56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7"/>
          <w:szCs w:val="17"/>
          <w:color w:val="auto"/>
        </w:rPr>
        <w:t>10.23*</w:t>
      </w: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10.25</w:t>
      </w:r>
    </w:p>
    <w:p>
      <w:pPr>
        <w:spacing w:after="0" w:line="20" w:lineRule="exact"/>
        <w:rPr>
          <w:sz w:val="20"/>
          <w:szCs w:val="20"/>
          <w:color w:val="auto"/>
        </w:rPr>
      </w:pPr>
      <w:r>
        <w:rPr>
          <w:sz w:val="20"/>
          <w:szCs w:val="20"/>
          <w:color w:val="auto"/>
        </w:rPr>
        <w:br w:type="column"/>
      </w:r>
    </w:p>
    <w:p>
      <w:pPr>
        <w:ind w:right="300"/>
        <w:spacing w:after="0" w:line="217" w:lineRule="auto"/>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The Company’s Retirement K Excess Program, amended and restated on November 26, 2007, effective as of</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January 1, 2007, filed February 26, 2008 as Exhibit 10.19 to the Company’s Form 10-K for the year ended</w:t>
        </w:r>
      </w:hyperlink>
    </w:p>
    <w:p>
      <w:pPr>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December 31, 2007, is incorporated herein by reference. (SEC File No. 001-07845)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5080</wp:posOffset>
            </wp:positionV>
            <wp:extent cx="7133590" cy="4851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33590" cy="485140"/>
                    </a:xfrm>
                    <a:prstGeom prst="rect">
                      <a:avLst/>
                    </a:prstGeom>
                    <a:noFill/>
                  </pic:spPr>
                </pic:pic>
              </a:graphicData>
            </a:graphic>
          </wp:anchor>
        </w:drawing>
      </w:r>
    </w:p>
    <w:p>
      <w:pPr>
        <w:ind w:right="60"/>
        <w:spacing w:after="0" w:line="228" w:lineRule="auto"/>
        <w:rPr>
          <w:rFonts w:ascii="Arial" w:cs="Arial" w:eastAsia="Arial" w:hAnsi="Arial"/>
          <w:sz w:val="17"/>
          <w:szCs w:val="17"/>
          <w:u w:val="single" w:color="auto"/>
          <w:color w:val="0000FF"/>
        </w:rPr>
      </w:pPr>
      <w:hyperlink r:id="rId219">
        <w:r>
          <w:rPr>
            <w:rFonts w:ascii="Arial" w:cs="Arial" w:eastAsia="Arial" w:hAnsi="Arial"/>
            <w:sz w:val="17"/>
            <w:szCs w:val="17"/>
            <w:u w:val="single" w:color="auto"/>
            <w:color w:val="0000FF"/>
          </w:rPr>
          <w:t>Amendment Agreement, dated as of July 24, 2025 relating to the Fifth Amended and Restated Credit Agreement</w:t>
        </w:r>
      </w:hyperlink>
      <w:r>
        <w:rPr>
          <w:rFonts w:ascii="Arial" w:cs="Arial" w:eastAsia="Arial" w:hAnsi="Arial"/>
          <w:sz w:val="17"/>
          <w:szCs w:val="17"/>
          <w:u w:val="single" w:color="auto"/>
          <w:color w:val="0000FF"/>
        </w:rPr>
        <w:t xml:space="preserve"> </w:t>
      </w:r>
      <w:hyperlink r:id="rId219">
        <w:r>
          <w:rPr>
            <w:rFonts w:ascii="Arial" w:cs="Arial" w:eastAsia="Arial" w:hAnsi="Arial"/>
            <w:sz w:val="17"/>
            <w:szCs w:val="17"/>
            <w:u w:val="single" w:color="auto"/>
            <w:color w:val="0000FF"/>
          </w:rPr>
          <w:t>among the Company, JPMorgan Chase Bank, N.A., as administrative agent, and the Lenders party thereto, filed</w:t>
        </w:r>
      </w:hyperlink>
    </w:p>
    <w:p>
      <w:pPr>
        <w:spacing w:after="0" w:line="202" w:lineRule="auto"/>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July 25, 2025 as Exhibit 10.1 to the Company’s Form 8-K, is incorporated herein by reference. (SEC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001-07845)</w:t>
        </w:r>
      </w:hyperlink>
    </w:p>
    <w:p>
      <w:pPr>
        <w:spacing w:after="0" w:line="43" w:lineRule="exact"/>
        <w:rPr>
          <w:sz w:val="20"/>
          <w:szCs w:val="20"/>
          <w:color w:val="auto"/>
        </w:rPr>
      </w:pPr>
    </w:p>
    <w:p>
      <w:pPr>
        <w:jc w:val="both"/>
        <w:ind w:right="580"/>
        <w:spacing w:after="0" w:line="225"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Commercial Paper Issuing and Paying Agent Agreement between U.S. Bank National Association and the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Company, dated December 2, 2014, including Master Note, filed December 5, 2014 as Exhibit 10.1 to the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Company's Form 8-K, is incorporated herein by reference. (SEC File No. 001-07845)</w:t>
        </w:r>
      </w:hyperlink>
    </w:p>
    <w:p>
      <w:pPr>
        <w:spacing w:after="0" w:line="22" w:lineRule="exact"/>
        <w:rPr>
          <w:rFonts w:ascii="Arial" w:cs="Arial" w:eastAsia="Arial" w:hAnsi="Arial"/>
          <w:sz w:val="18"/>
          <w:szCs w:val="18"/>
          <w:u w:val="single" w:color="auto"/>
          <w:color w:val="0000FF"/>
        </w:rPr>
      </w:pPr>
    </w:p>
    <w:p>
      <w:pPr>
        <w:sectPr>
          <w:pgSz w:w="11900" w:h="16838" w:orient="portrait"/>
          <w:cols w:equalWidth="0" w:num="2">
            <w:col w:w="1580" w:space="72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10.26</w:t>
            </w:r>
          </w:p>
        </w:tc>
        <w:tc>
          <w:tcPr>
            <w:tcW w:w="8940" w:type="dxa"/>
            <w:vAlign w:val="bottom"/>
            <w:gridSpan w:val="13"/>
            <w:shd w:val="clear" w:color="auto" w:fill="CCEEFF"/>
          </w:tcPr>
          <w:p>
            <w:pPr>
              <w:spacing w:after="0"/>
              <w:rPr>
                <w:rFonts w:ascii="Arial" w:cs="Arial" w:eastAsia="Arial" w:hAnsi="Arial"/>
                <w:sz w:val="18"/>
                <w:szCs w:val="18"/>
                <w:color w:val="0000FF"/>
                <w:w w:val="99"/>
              </w:rPr>
            </w:pPr>
            <w:hyperlink r:id="rId221">
              <w:r>
                <w:rPr>
                  <w:rFonts w:ascii="Arial" w:cs="Arial" w:eastAsia="Arial" w:hAnsi="Arial"/>
                  <w:sz w:val="18"/>
                  <w:szCs w:val="18"/>
                  <w:color w:val="0000FF"/>
                  <w:w w:val="99"/>
                </w:rPr>
                <w:t>Form of Amended and Restated Commercial Paper Dealer Agreement filed December 5, 2014 as Exhibit 10.2 to</w:t>
              </w:r>
            </w:hyperlink>
          </w:p>
        </w:tc>
      </w:tr>
      <w:tr>
        <w:trPr>
          <w:trHeight w:val="174"/>
        </w:trPr>
        <w:tc>
          <w:tcPr>
            <w:tcW w:w="2300" w:type="dxa"/>
            <w:vAlign w:val="bottom"/>
            <w:tcBorders>
              <w:top w:val="single" w:sz="8" w:color="CCEEFF"/>
            </w:tcBorders>
            <w:shd w:val="clear" w:color="auto" w:fill="CCEEFF"/>
          </w:tcPr>
          <w:p>
            <w:pPr>
              <w:spacing w:after="0"/>
              <w:rPr>
                <w:sz w:val="15"/>
                <w:szCs w:val="15"/>
                <w:color w:val="auto"/>
              </w:rPr>
            </w:pPr>
          </w:p>
        </w:tc>
        <w:tc>
          <w:tcPr>
            <w:tcW w:w="8880" w:type="dxa"/>
            <w:vAlign w:val="bottom"/>
            <w:tcBorders>
              <w:top w:val="single" w:sz="8" w:color="0000FF"/>
            </w:tcBorders>
            <w:gridSpan w:val="11"/>
            <w:shd w:val="clear" w:color="auto" w:fill="CCEEFF"/>
          </w:tcPr>
          <w:p>
            <w:pPr>
              <w:spacing w:after="0" w:line="154" w:lineRule="exact"/>
              <w:rPr>
                <w:rFonts w:ascii="Arial" w:cs="Arial" w:eastAsia="Arial" w:hAnsi="Arial"/>
                <w:sz w:val="17"/>
                <w:szCs w:val="17"/>
                <w:color w:val="0000FF"/>
              </w:rPr>
            </w:pPr>
            <w:hyperlink r:id="rId221">
              <w:r>
                <w:rPr>
                  <w:rFonts w:ascii="Arial" w:cs="Arial" w:eastAsia="Arial" w:hAnsi="Arial"/>
                  <w:sz w:val="17"/>
                  <w:szCs w:val="17"/>
                  <w:color w:val="0000FF"/>
                </w:rPr>
                <w:t>the Company’s Form 8-K, is incorporated herein by reference. (SEC File No. 001-07845)</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8"/>
        </w:trPr>
        <w:tc>
          <w:tcPr>
            <w:tcW w:w="2300" w:type="dxa"/>
            <w:vAlign w:val="bottom"/>
            <w:tcBorders>
              <w:top w:val="single" w:sz="8" w:color="CCEEFF"/>
            </w:tcBorders>
          </w:tcPr>
          <w:p>
            <w:pPr>
              <w:ind w:left="20"/>
              <w:spacing w:after="0" w:line="188" w:lineRule="exact"/>
              <w:rPr>
                <w:sz w:val="20"/>
                <w:szCs w:val="20"/>
                <w:color w:val="auto"/>
              </w:rPr>
            </w:pPr>
            <w:r>
              <w:rPr>
                <w:rFonts w:ascii="Arial" w:cs="Arial" w:eastAsia="Arial" w:hAnsi="Arial"/>
                <w:sz w:val="18"/>
                <w:szCs w:val="18"/>
                <w:color w:val="auto"/>
              </w:rPr>
              <w:t>19**</w:t>
            </w:r>
          </w:p>
        </w:tc>
        <w:tc>
          <w:tcPr>
            <w:tcW w:w="6980" w:type="dxa"/>
            <w:vAlign w:val="bottom"/>
            <w:tcBorders>
              <w:top w:val="single" w:sz="8" w:color="0000FF"/>
            </w:tcBorders>
            <w:gridSpan w:val="6"/>
          </w:tcPr>
          <w:p>
            <w:pPr>
              <w:spacing w:after="0" w:line="188" w:lineRule="exact"/>
              <w:rPr>
                <w:sz w:val="20"/>
                <w:szCs w:val="20"/>
                <w:color w:val="auto"/>
              </w:rPr>
            </w:pPr>
            <w:r>
              <w:rPr>
                <w:rFonts w:ascii="Arial" w:cs="Arial" w:eastAsia="Arial" w:hAnsi="Arial"/>
                <w:sz w:val="18"/>
                <w:szCs w:val="18"/>
                <w:color w:val="0000FF"/>
              </w:rPr>
              <w:t>The Company's Insider Trading Policy adopted December 1, 2025</w:t>
            </w:r>
          </w:p>
        </w:tc>
        <w:tc>
          <w:tcPr>
            <w:tcW w:w="1960" w:type="dxa"/>
            <w:vAlign w:val="bottom"/>
            <w:tcBorders>
              <w:top w:val="single" w:sz="8" w:color="CCEEFF"/>
            </w:tcBorders>
            <w:gridSpan w:val="7"/>
          </w:tcPr>
          <w:p>
            <w:pPr>
              <w:spacing w:after="0"/>
              <w:rPr>
                <w:sz w:val="16"/>
                <w:szCs w:val="16"/>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21**</w:t>
            </w:r>
          </w:p>
        </w:tc>
        <w:tc>
          <w:tcPr>
            <w:tcW w:w="8940" w:type="dxa"/>
            <w:vAlign w:val="bottom"/>
            <w:gridSpan w:val="13"/>
            <w:shd w:val="clear" w:color="auto" w:fill="CCEEFF"/>
          </w:tcPr>
          <w:p>
            <w:pPr>
              <w:spacing w:after="0" w:line="188" w:lineRule="exact"/>
              <w:rPr>
                <w:sz w:val="20"/>
                <w:szCs w:val="20"/>
                <w:color w:val="auto"/>
              </w:rPr>
            </w:pPr>
            <w:r>
              <w:rPr>
                <w:rFonts w:ascii="Arial" w:cs="Arial" w:eastAsia="Arial" w:hAnsi="Arial"/>
                <w:sz w:val="18"/>
                <w:szCs w:val="18"/>
                <w:color w:val="0000FF"/>
              </w:rPr>
              <w:t>Schedule of Subsidiaries of the Company</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23**</w:t>
            </w:r>
          </w:p>
        </w:tc>
        <w:tc>
          <w:tcPr>
            <w:tcW w:w="8940" w:type="dxa"/>
            <w:vAlign w:val="bottom"/>
            <w:gridSpan w:val="13"/>
          </w:tcPr>
          <w:p>
            <w:pPr>
              <w:spacing w:after="0" w:line="188" w:lineRule="exact"/>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2300" w:type="dxa"/>
            <w:vAlign w:val="bottom"/>
          </w:tcPr>
          <w:p>
            <w:pPr>
              <w:spacing w:after="0" w:line="20" w:lineRule="exact"/>
              <w:rPr>
                <w:sz w:val="1"/>
                <w:szCs w:val="1"/>
                <w:color w:val="auto"/>
              </w:rPr>
            </w:pPr>
          </w:p>
        </w:tc>
        <w:tc>
          <w:tcPr>
            <w:tcW w:w="32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24**</w:t>
            </w:r>
          </w:p>
        </w:tc>
        <w:tc>
          <w:tcPr>
            <w:tcW w:w="8940" w:type="dxa"/>
            <w:vAlign w:val="bottom"/>
            <w:gridSpan w:val="13"/>
            <w:shd w:val="clear" w:color="auto" w:fill="CCEEFF"/>
          </w:tcPr>
          <w:p>
            <w:pPr>
              <w:spacing w:after="0" w:line="188" w:lineRule="exact"/>
              <w:rPr>
                <w:sz w:val="20"/>
                <w:szCs w:val="20"/>
                <w:color w:val="auto"/>
              </w:rPr>
            </w:pPr>
            <w:r>
              <w:rPr>
                <w:rFonts w:ascii="Arial" w:cs="Arial" w:eastAsia="Arial" w:hAnsi="Arial"/>
                <w:sz w:val="18"/>
                <w:szCs w:val="18"/>
                <w:color w:val="0000FF"/>
              </w:rPr>
              <w:t>Power of Attorney executed by members of the Company’s Board of Directors regarding this Form 10-K</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31.1**</w:t>
            </w:r>
          </w:p>
        </w:tc>
        <w:tc>
          <w:tcPr>
            <w:tcW w:w="8940" w:type="dxa"/>
            <w:vAlign w:val="bottom"/>
            <w:gridSpan w:val="13"/>
          </w:tcPr>
          <w:p>
            <w:pPr>
              <w:spacing w:after="0" w:line="188" w:lineRule="exact"/>
              <w:rPr>
                <w:sz w:val="20"/>
                <w:szCs w:val="20"/>
                <w:color w:val="auto"/>
              </w:rPr>
            </w:pPr>
            <w:r>
              <w:rPr>
                <w:rFonts w:ascii="Arial" w:cs="Arial" w:eastAsia="Arial" w:hAnsi="Arial"/>
                <w:sz w:val="18"/>
                <w:szCs w:val="18"/>
                <w:color w:val="0000FF"/>
              </w:rPr>
              <w:t>Certification of Karl G. Glassman, pursuant to Rule 13a-14(a), as adopted pursuant to Section 302 of the</w:t>
            </w:r>
          </w:p>
        </w:tc>
      </w:tr>
      <w:tr>
        <w:trPr>
          <w:trHeight w:val="154"/>
        </w:trPr>
        <w:tc>
          <w:tcPr>
            <w:tcW w:w="2300" w:type="dxa"/>
            <w:vAlign w:val="bottom"/>
          </w:tcPr>
          <w:p>
            <w:pPr>
              <w:spacing w:after="0"/>
              <w:rPr>
                <w:sz w:val="13"/>
                <w:szCs w:val="13"/>
                <w:color w:val="auto"/>
              </w:rPr>
            </w:pPr>
          </w:p>
        </w:tc>
        <w:tc>
          <w:tcPr>
            <w:tcW w:w="8240" w:type="dxa"/>
            <w:vAlign w:val="bottom"/>
            <w:tcBorders>
              <w:top w:val="single" w:sz="8" w:color="0000FF"/>
            </w:tcBorders>
            <w:gridSpan w:val="8"/>
          </w:tcPr>
          <w:p>
            <w:pPr>
              <w:spacing w:after="0" w:line="154" w:lineRule="exact"/>
              <w:rPr>
                <w:sz w:val="20"/>
                <w:szCs w:val="20"/>
                <w:color w:val="auto"/>
              </w:rPr>
            </w:pPr>
            <w:r>
              <w:rPr>
                <w:rFonts w:ascii="Arial" w:cs="Arial" w:eastAsia="Arial" w:hAnsi="Arial"/>
                <w:sz w:val="17"/>
                <w:szCs w:val="17"/>
                <w:color w:val="0000FF"/>
              </w:rPr>
              <w:t>Sarbanes-Oxley Act of 2002, dated February 26, 2026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32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31.2**</w:t>
            </w:r>
          </w:p>
        </w:tc>
        <w:tc>
          <w:tcPr>
            <w:tcW w:w="8940" w:type="dxa"/>
            <w:vAlign w:val="bottom"/>
            <w:gridSpan w:val="13"/>
            <w:shd w:val="clear" w:color="auto" w:fill="CCEEFF"/>
          </w:tcPr>
          <w:p>
            <w:pPr>
              <w:spacing w:after="0" w:line="188" w:lineRule="exact"/>
              <w:rPr>
                <w:sz w:val="20"/>
                <w:szCs w:val="20"/>
                <w:color w:val="auto"/>
              </w:rPr>
            </w:pPr>
            <w:r>
              <w:rPr>
                <w:rFonts w:ascii="Arial" w:cs="Arial" w:eastAsia="Arial" w:hAnsi="Arial"/>
                <w:sz w:val="18"/>
                <w:szCs w:val="18"/>
                <w:color w:val="0000FF"/>
              </w:rPr>
              <w:t>Certification of Benjamin M. Burns, pursuant to Rule 13a-14(a), as adopted pursuant to Section 302 of the</w:t>
            </w:r>
          </w:p>
        </w:tc>
      </w:tr>
      <w:tr>
        <w:trPr>
          <w:trHeight w:val="154"/>
        </w:trPr>
        <w:tc>
          <w:tcPr>
            <w:tcW w:w="230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9"/>
            <w:shd w:val="clear" w:color="auto" w:fill="CCEEFF"/>
          </w:tcPr>
          <w:p>
            <w:pPr>
              <w:spacing w:after="0" w:line="154" w:lineRule="exact"/>
              <w:rPr>
                <w:sz w:val="20"/>
                <w:szCs w:val="20"/>
                <w:color w:val="auto"/>
              </w:rPr>
            </w:pPr>
            <w:r>
              <w:rPr>
                <w:rFonts w:ascii="Arial" w:cs="Arial" w:eastAsia="Arial" w:hAnsi="Arial"/>
                <w:sz w:val="17"/>
                <w:szCs w:val="17"/>
                <w:color w:val="0000FF"/>
              </w:rPr>
              <w:t>Sarbanes-Oxley Act of 2002, dated February 26, 2026</w:t>
            </w:r>
          </w:p>
        </w:tc>
        <w:tc>
          <w:tcPr>
            <w:tcW w:w="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300" w:type="dxa"/>
            <w:vAlign w:val="bottom"/>
            <w:tcBorders>
              <w:top w:val="single" w:sz="8" w:color="CCEEFF"/>
            </w:tcBorders>
            <w:shd w:val="clear" w:color="auto" w:fill="CCEEFF"/>
          </w:tcPr>
          <w:p>
            <w:pPr>
              <w:spacing w:after="0"/>
              <w:rPr>
                <w:sz w:val="2"/>
                <w:szCs w:val="2"/>
                <w:color w:val="auto"/>
              </w:rPr>
            </w:pPr>
          </w:p>
        </w:tc>
        <w:tc>
          <w:tcPr>
            <w:tcW w:w="32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2300" w:type="dxa"/>
            <w:vAlign w:val="bottom"/>
          </w:tcPr>
          <w:p>
            <w:pPr>
              <w:ind w:left="20"/>
              <w:spacing w:after="0" w:line="188" w:lineRule="exact"/>
              <w:rPr>
                <w:sz w:val="20"/>
                <w:szCs w:val="20"/>
                <w:color w:val="auto"/>
              </w:rPr>
            </w:pPr>
            <w:r>
              <w:rPr>
                <w:rFonts w:ascii="Arial" w:cs="Arial" w:eastAsia="Arial" w:hAnsi="Arial"/>
                <w:sz w:val="18"/>
                <w:szCs w:val="18"/>
                <w:color w:val="auto"/>
              </w:rPr>
              <w:t>32.1**</w:t>
            </w:r>
          </w:p>
        </w:tc>
        <w:tc>
          <w:tcPr>
            <w:tcW w:w="8940" w:type="dxa"/>
            <w:vAlign w:val="bottom"/>
            <w:gridSpan w:val="13"/>
          </w:tcPr>
          <w:p>
            <w:pPr>
              <w:spacing w:after="0" w:line="188" w:lineRule="exact"/>
              <w:rPr>
                <w:sz w:val="20"/>
                <w:szCs w:val="20"/>
                <w:color w:val="auto"/>
              </w:rPr>
            </w:pPr>
            <w:r>
              <w:rPr>
                <w:rFonts w:ascii="Arial" w:cs="Arial" w:eastAsia="Arial" w:hAnsi="Arial"/>
                <w:sz w:val="18"/>
                <w:szCs w:val="18"/>
                <w:color w:val="0000FF"/>
                <w:w w:val="99"/>
              </w:rPr>
              <w:t>Certification of Karl G. Glassman, pursuant to 18 U.S.C. Section 1350, as adopted pursuant to Section 906 of the</w:t>
            </w:r>
          </w:p>
        </w:tc>
      </w:tr>
      <w:tr>
        <w:trPr>
          <w:trHeight w:val="154"/>
        </w:trPr>
        <w:tc>
          <w:tcPr>
            <w:tcW w:w="2300" w:type="dxa"/>
            <w:vAlign w:val="bottom"/>
          </w:tcPr>
          <w:p>
            <w:pPr>
              <w:spacing w:after="0"/>
              <w:rPr>
                <w:sz w:val="13"/>
                <w:szCs w:val="13"/>
                <w:color w:val="auto"/>
              </w:rPr>
            </w:pPr>
          </w:p>
        </w:tc>
        <w:tc>
          <w:tcPr>
            <w:tcW w:w="8920" w:type="dxa"/>
            <w:vAlign w:val="bottom"/>
            <w:tcBorders>
              <w:top w:val="single" w:sz="8" w:color="0000FF"/>
            </w:tcBorders>
            <w:gridSpan w:val="12"/>
          </w:tcPr>
          <w:p>
            <w:pPr>
              <w:spacing w:after="0" w:line="154" w:lineRule="exact"/>
              <w:rPr>
                <w:sz w:val="20"/>
                <w:szCs w:val="20"/>
                <w:color w:val="auto"/>
              </w:rPr>
            </w:pPr>
            <w:r>
              <w:rPr>
                <w:rFonts w:ascii="Arial" w:cs="Arial" w:eastAsia="Arial" w:hAnsi="Arial"/>
                <w:sz w:val="17"/>
                <w:szCs w:val="17"/>
                <w:color w:val="0000FF"/>
              </w:rPr>
              <w:t>Sarbanes-Oxley Act of 2002, dated February 26, 2026</w:t>
            </w:r>
          </w:p>
        </w:tc>
        <w:tc>
          <w:tcPr>
            <w:tcW w:w="20" w:type="dxa"/>
            <w:vAlign w:val="bottom"/>
          </w:tcPr>
          <w:p>
            <w:pPr>
              <w:spacing w:after="0"/>
              <w:rPr>
                <w:sz w:val="13"/>
                <w:szCs w:val="13"/>
                <w:color w:val="auto"/>
              </w:rPr>
            </w:pPr>
          </w:p>
        </w:tc>
      </w:tr>
      <w:tr>
        <w:trPr>
          <w:trHeight w:val="34"/>
        </w:trPr>
        <w:tc>
          <w:tcPr>
            <w:tcW w:w="2300" w:type="dxa"/>
            <w:vAlign w:val="bottom"/>
          </w:tcPr>
          <w:p>
            <w:pPr>
              <w:spacing w:after="0"/>
              <w:rPr>
                <w:sz w:val="2"/>
                <w:szCs w:val="2"/>
                <w:color w:val="auto"/>
              </w:rPr>
            </w:pPr>
          </w:p>
        </w:tc>
        <w:tc>
          <w:tcPr>
            <w:tcW w:w="32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30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32.2**</w:t>
            </w:r>
          </w:p>
        </w:tc>
        <w:tc>
          <w:tcPr>
            <w:tcW w:w="8940" w:type="dxa"/>
            <w:vAlign w:val="bottom"/>
            <w:gridSpan w:val="13"/>
            <w:shd w:val="clear" w:color="auto" w:fill="CCEEFF"/>
          </w:tcPr>
          <w:p>
            <w:pPr>
              <w:spacing w:after="0" w:line="188" w:lineRule="exact"/>
              <w:rPr>
                <w:sz w:val="20"/>
                <w:szCs w:val="20"/>
                <w:color w:val="auto"/>
              </w:rPr>
            </w:pPr>
            <w:r>
              <w:rPr>
                <w:rFonts w:ascii="Arial" w:cs="Arial" w:eastAsia="Arial" w:hAnsi="Arial"/>
                <w:sz w:val="18"/>
                <w:szCs w:val="18"/>
                <w:color w:val="0000FF"/>
              </w:rPr>
              <w:t>Certification of Benjamin M. Burns, pursuant to 18 U.S.C. Section 1350, as adopted pursuant to Section 906 of</w:t>
            </w:r>
          </w:p>
        </w:tc>
      </w:tr>
      <w:tr>
        <w:trPr>
          <w:trHeight w:val="188"/>
        </w:trPr>
        <w:tc>
          <w:tcPr>
            <w:tcW w:w="2300" w:type="dxa"/>
            <w:vAlign w:val="bottom"/>
            <w:tcBorders>
              <w:top w:val="single" w:sz="8" w:color="CCEEFF"/>
            </w:tcBorders>
            <w:shd w:val="clear" w:color="auto" w:fill="CCEEFF"/>
          </w:tcPr>
          <w:p>
            <w:pPr>
              <w:spacing w:after="0"/>
              <w:rPr>
                <w:sz w:val="16"/>
                <w:szCs w:val="16"/>
                <w:color w:val="auto"/>
              </w:rPr>
            </w:pPr>
          </w:p>
        </w:tc>
        <w:tc>
          <w:tcPr>
            <w:tcW w:w="8720" w:type="dxa"/>
            <w:vAlign w:val="bottom"/>
            <w:tcBorders>
              <w:top w:val="single" w:sz="8" w:color="0000FF"/>
            </w:tcBorders>
            <w:gridSpan w:val="10"/>
            <w:shd w:val="clear" w:color="auto" w:fill="CCEEFF"/>
          </w:tcPr>
          <w:p>
            <w:pPr>
              <w:spacing w:after="0" w:line="154" w:lineRule="exact"/>
              <w:rPr>
                <w:sz w:val="20"/>
                <w:szCs w:val="20"/>
                <w:color w:val="auto"/>
              </w:rPr>
            </w:pPr>
            <w:r>
              <w:rPr>
                <w:rFonts w:ascii="Arial" w:cs="Arial" w:eastAsia="Arial" w:hAnsi="Arial"/>
                <w:sz w:val="17"/>
                <w:szCs w:val="17"/>
                <w:color w:val="0000FF"/>
              </w:rPr>
              <w:t>the Sarbanes-Oxley Act of 2002, dated February 26, 2026</w:t>
            </w:r>
          </w:p>
        </w:tc>
        <w:tc>
          <w:tcPr>
            <w:tcW w:w="220" w:type="dxa"/>
            <w:vAlign w:val="bottom"/>
            <w:tcBorders>
              <w:top w:val="single" w:sz="8" w:color="CCEEFF"/>
            </w:tcBorders>
            <w:gridSpan w:val="3"/>
            <w:shd w:val="clear" w:color="auto" w:fill="CCEEFF"/>
          </w:tcPr>
          <w:p>
            <w:pPr>
              <w:spacing w:after="0"/>
              <w:rPr>
                <w:sz w:val="16"/>
                <w:szCs w:val="16"/>
                <w:color w:val="auto"/>
              </w:rPr>
            </w:pPr>
          </w:p>
        </w:tc>
      </w:tr>
      <w:tr>
        <w:trPr>
          <w:trHeight w:val="820"/>
        </w:trPr>
        <w:tc>
          <w:tcPr>
            <w:tcW w:w="2300" w:type="dxa"/>
            <w:vAlign w:val="bottom"/>
            <w:tcBorders>
              <w:top w:val="single" w:sz="8" w:color="CCEEFF"/>
            </w:tcBorders>
          </w:tcPr>
          <w:p>
            <w:pPr>
              <w:spacing w:after="0"/>
              <w:rPr>
                <w:sz w:val="24"/>
                <w:szCs w:val="24"/>
                <w:color w:val="auto"/>
              </w:rPr>
            </w:pPr>
          </w:p>
        </w:tc>
        <w:tc>
          <w:tcPr>
            <w:tcW w:w="4280" w:type="dxa"/>
            <w:vAlign w:val="bottom"/>
            <w:tcBorders>
              <w:top w:val="single" w:sz="8" w:color="0000FF"/>
            </w:tcBorders>
            <w:gridSpan w:val="2"/>
          </w:tcPr>
          <w:p>
            <w:pPr>
              <w:ind w:left="3180"/>
              <w:spacing w:after="0"/>
              <w:rPr>
                <w:sz w:val="20"/>
                <w:szCs w:val="20"/>
                <w:color w:val="auto"/>
              </w:rPr>
            </w:pPr>
            <w:r>
              <w:rPr>
                <w:rFonts w:ascii="Arial" w:cs="Arial" w:eastAsia="Arial" w:hAnsi="Arial"/>
                <w:sz w:val="18"/>
                <w:szCs w:val="18"/>
                <w:color w:val="auto"/>
              </w:rPr>
              <w:t>126</w:t>
            </w: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2"/>
        </w:trPr>
        <w:tc>
          <w:tcPr>
            <w:tcW w:w="230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80" w:type="dxa"/>
            <w:vAlign w:val="bottom"/>
            <w:gridSpan w:val="2"/>
          </w:tcPr>
          <w:p>
            <w:pPr>
              <w:ind w:left="280"/>
              <w:spacing w:after="0"/>
              <w:rPr>
                <w:sz w:val="20"/>
                <w:szCs w:val="20"/>
                <w:color w:val="auto"/>
              </w:rPr>
            </w:pPr>
            <w:r>
              <w:rPr>
                <w:rFonts w:ascii="Arial" w:cs="Arial" w:eastAsia="Arial" w:hAnsi="Arial"/>
                <w:sz w:val="21"/>
                <w:szCs w:val="21"/>
                <w:b w:val="1"/>
                <w:bCs w:val="1"/>
                <w:color w:val="auto"/>
              </w:rPr>
              <w:t>Exhibit No.</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40" w:type="dxa"/>
            <w:vAlign w:val="bottom"/>
            <w:gridSpan w:val="3"/>
          </w:tcPr>
          <w:p>
            <w:pPr>
              <w:ind w:left="420"/>
              <w:spacing w:after="0"/>
              <w:rPr>
                <w:sz w:val="20"/>
                <w:szCs w:val="20"/>
                <w:color w:val="auto"/>
              </w:rPr>
            </w:pPr>
            <w:r>
              <w:rPr>
                <w:rFonts w:ascii="Arial" w:cs="Arial" w:eastAsia="Arial" w:hAnsi="Arial"/>
                <w:sz w:val="21"/>
                <w:szCs w:val="21"/>
                <w:b w:val="1"/>
                <w:bCs w:val="1"/>
                <w:color w:val="auto"/>
              </w:rPr>
              <w:t>Document Description</w:t>
            </w:r>
          </w:p>
        </w:tc>
      </w:tr>
      <w:tr>
        <w:trPr>
          <w:trHeight w:val="181"/>
        </w:trPr>
        <w:tc>
          <w:tcPr>
            <w:tcW w:w="166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8"/>
                <w:szCs w:val="18"/>
                <w:color w:val="auto"/>
              </w:rPr>
              <w:t>97*</w:t>
            </w:r>
          </w:p>
        </w:tc>
        <w:tc>
          <w:tcPr>
            <w:tcW w:w="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40" w:type="dxa"/>
            <w:vAlign w:val="bottom"/>
            <w:tcBorders>
              <w:top w:val="single" w:sz="8" w:color="auto"/>
            </w:tcBorders>
            <w:gridSpan w:val="4"/>
          </w:tcPr>
          <w:p>
            <w:pPr>
              <w:spacing w:after="0" w:line="181" w:lineRule="exact"/>
              <w:rPr>
                <w:rFonts w:ascii="Arial" w:cs="Arial" w:eastAsia="Arial" w:hAnsi="Arial"/>
                <w:sz w:val="18"/>
                <w:szCs w:val="18"/>
                <w:color w:val="0000FF"/>
              </w:rPr>
            </w:pPr>
            <w:hyperlink r:id="rId224">
              <w:r>
                <w:rPr>
                  <w:rFonts w:ascii="Arial" w:cs="Arial" w:eastAsia="Arial" w:hAnsi="Arial"/>
                  <w:sz w:val="18"/>
                  <w:szCs w:val="18"/>
                  <w:color w:val="0000FF"/>
                </w:rPr>
                <w:t>The Company's Incentive Compensation Recovery Policy, dated November 6, 2023, filed February 27, 2024 as</w:t>
              </w:r>
            </w:hyperlink>
          </w:p>
        </w:tc>
      </w:tr>
      <w:tr>
        <w:trPr>
          <w:trHeight w:val="154"/>
        </w:trPr>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3"/>
          </w:tcPr>
          <w:p>
            <w:pPr>
              <w:spacing w:after="0" w:line="154" w:lineRule="exact"/>
              <w:rPr>
                <w:rFonts w:ascii="Arial" w:cs="Arial" w:eastAsia="Arial" w:hAnsi="Arial"/>
                <w:sz w:val="17"/>
                <w:szCs w:val="17"/>
                <w:color w:val="0000FF"/>
              </w:rPr>
            </w:pPr>
            <w:hyperlink r:id="rId224">
              <w:r>
                <w:rPr>
                  <w:rFonts w:ascii="Arial" w:cs="Arial" w:eastAsia="Arial" w:hAnsi="Arial"/>
                  <w:sz w:val="17"/>
                  <w:szCs w:val="17"/>
                  <w:color w:val="0000FF"/>
                </w:rPr>
                <w:t>Exhibit 97 to the Company's Form 10-K for the year ended December 31, 2023, is incorporated herein by</w:t>
              </w:r>
            </w:hyperlink>
          </w:p>
        </w:tc>
        <w:tc>
          <w:tcPr>
            <w:tcW w:w="180" w:type="dxa"/>
            <w:vAlign w:val="bottom"/>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tcBorders>
            <w:gridSpan w:val="2"/>
          </w:tcPr>
          <w:p>
            <w:pPr>
              <w:spacing w:after="0" w:line="168" w:lineRule="exact"/>
              <w:rPr>
                <w:rFonts w:ascii="Arial" w:cs="Arial" w:eastAsia="Arial" w:hAnsi="Arial"/>
                <w:sz w:val="18"/>
                <w:szCs w:val="18"/>
                <w:color w:val="0000FF"/>
              </w:rPr>
            </w:pPr>
            <w:hyperlink r:id="rId224">
              <w:r>
                <w:rPr>
                  <w:rFonts w:ascii="Arial" w:cs="Arial" w:eastAsia="Arial" w:hAnsi="Arial"/>
                  <w:sz w:val="18"/>
                  <w:szCs w:val="18"/>
                  <w:color w:val="0000FF"/>
                </w:rPr>
                <w:t>reference. (SEC File No. 001-07845)</w:t>
              </w:r>
            </w:hyperlink>
          </w:p>
        </w:tc>
        <w:tc>
          <w:tcPr>
            <w:tcW w:w="660" w:type="dxa"/>
            <w:vAlign w:val="bottom"/>
            <w:gridSpan w:val="2"/>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top w:val="single" w:sz="8" w:color="0000FF"/>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4"/>
        </w:trPr>
        <w:tc>
          <w:tcPr>
            <w:tcW w:w="22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5"/>
                <w:szCs w:val="15"/>
                <w:color w:val="auto"/>
              </w:rPr>
            </w:pPr>
          </w:p>
        </w:tc>
        <w:tc>
          <w:tcPr>
            <w:tcW w:w="8940" w:type="dxa"/>
            <w:vAlign w:val="bottom"/>
            <w:gridSpan w:val="4"/>
            <w:shd w:val="clear" w:color="auto" w:fill="CCEEFF"/>
          </w:tcPr>
          <w:p>
            <w:pPr>
              <w:spacing w:after="0" w:line="175"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w:t>
            </w:r>
          </w:p>
        </w:tc>
      </w:tr>
      <w:tr>
        <w:trPr>
          <w:trHeight w:val="241"/>
        </w:trPr>
        <w:tc>
          <w:tcPr>
            <w:tcW w:w="1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28"/>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28"/>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8"/>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8"/>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9"/>
                <w:szCs w:val="19"/>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28"/>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174"/>
        </w:trPr>
        <w:tc>
          <w:tcPr>
            <w:tcW w:w="16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40" w:type="dxa"/>
            <w:vAlign w:val="bottom"/>
            <w:gridSpan w:val="4"/>
            <w:shd w:val="clear" w:color="auto" w:fill="CCEEFF"/>
          </w:tcPr>
          <w:p>
            <w:pPr>
              <w:spacing w:after="0" w:line="175" w:lineRule="exact"/>
              <w:rPr>
                <w:sz w:val="20"/>
                <w:szCs w:val="20"/>
                <w:color w:val="auto"/>
              </w:rPr>
            </w:pPr>
            <w:r>
              <w:rPr>
                <w:rFonts w:ascii="Arial" w:cs="Arial" w:eastAsia="Arial" w:hAnsi="Arial"/>
                <w:sz w:val="18"/>
                <w:szCs w:val="18"/>
                <w:color w:val="auto"/>
              </w:rPr>
              <w:t>Cover Page Interactive Data File (formatted as Inline XBRL and contained in Exhibit 101). The cover page</w:t>
            </w:r>
          </w:p>
        </w:tc>
      </w:tr>
      <w:tr>
        <w:trPr>
          <w:trHeight w:val="182"/>
        </w:trPr>
        <w:tc>
          <w:tcPr>
            <w:tcW w:w="1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4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interactive data file does not appear in the Interactive Data File because its XBRL tags are embedded within the</w:t>
            </w:r>
          </w:p>
        </w:tc>
      </w:tr>
      <w:tr>
        <w:trPr>
          <w:trHeight w:val="233"/>
        </w:trPr>
        <w:tc>
          <w:tcPr>
            <w:tcW w:w="1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Inline XBRL document.</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31" w:lineRule="exact"/>
        <w:rPr>
          <w:sz w:val="20"/>
          <w:szCs w:val="20"/>
          <w:color w:val="auto"/>
        </w:rPr>
      </w:pPr>
    </w:p>
    <w:p>
      <w:pPr>
        <w:ind w:left="680" w:hanging="575"/>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Denotes filed or furnished herewith.</w:t>
      </w:r>
    </w:p>
    <w:p>
      <w:pPr>
        <w:spacing w:after="0" w:line="12" w:lineRule="exact"/>
        <w:rPr>
          <w:sz w:val="20"/>
          <w:szCs w:val="20"/>
          <w:color w:val="auto"/>
        </w:rPr>
      </w:pPr>
    </w:p>
    <w:p>
      <w:pPr>
        <w:ind w:left="680" w:hanging="575"/>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Filed as Exhibit 101 to this report are the following formatted in Inline XBRL (eXtensible Business Reporting Language):</w:t>
      </w:r>
    </w:p>
    <w:p>
      <w:pPr>
        <w:ind w:left="680" w:right="760"/>
        <w:spacing w:after="0" w:line="227" w:lineRule="auto"/>
        <w:rPr>
          <w:rFonts w:ascii="Arial" w:cs="Arial" w:eastAsia="Arial" w:hAnsi="Arial"/>
          <w:sz w:val="18"/>
          <w:szCs w:val="18"/>
          <w:color w:val="auto"/>
        </w:rPr>
      </w:pPr>
      <w:r>
        <w:rPr>
          <w:rFonts w:ascii="Arial" w:cs="Arial" w:eastAsia="Arial" w:hAnsi="Arial"/>
          <w:sz w:val="17"/>
          <w:szCs w:val="17"/>
          <w:color w:val="auto"/>
        </w:rPr>
        <w:t>(i) Consolidated Balance Sheets at December 31, 2025 and December 31, 2024; (ii) Consolidated Statements of Operations for each year in the three year period ended December 31, 2025; (iii) Consolidated Statements of Comprehensive Income (Loss) for each year in the three year period ended December 31, 2025; (iv) Consolidated Statements of Cash Flows for each year in the three year period ended December 31, 2025; (v) Consolidated Statements of Changes in Equity for each year in the three year period ended December 31, 2025; and (vi) Notes to Consolidated Financial Statements.</w:t>
      </w:r>
    </w:p>
    <w:p>
      <w:pPr>
        <w:spacing w:after="0" w:line="3" w:lineRule="exact"/>
        <w:rPr>
          <w:rFonts w:ascii="Arial" w:cs="Arial" w:eastAsia="Arial" w:hAnsi="Arial"/>
          <w:sz w:val="18"/>
          <w:szCs w:val="18"/>
          <w:color w:val="auto"/>
        </w:rPr>
      </w:pPr>
    </w:p>
    <w:p>
      <w:pPr>
        <w:ind w:left="680" w:right="780" w:hanging="575"/>
        <w:spacing w:after="0" w:line="221"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Item 601(a)(5) of Regulation S-K, schedules (and similar attachments) to the Share Purchase Agreement have been omitted because they do not contain information material to an investment or voting decision and such information is not otherwise disclosed in this exhibit. Leggett agrees to furnish, supplementally, a copy of any omitted schedule to the SEC or its staff upon request.</w:t>
      </w:r>
    </w:p>
    <w:p>
      <w:pPr>
        <w:spacing w:after="0" w:line="1" w:lineRule="exact"/>
        <w:rPr>
          <w:rFonts w:ascii="Arial" w:cs="Arial" w:eastAsia="Arial" w:hAnsi="Arial"/>
          <w:sz w:val="18"/>
          <w:szCs w:val="18"/>
          <w:color w:val="auto"/>
        </w:rPr>
      </w:pPr>
    </w:p>
    <w:p>
      <w:pPr>
        <w:ind w:left="680" w:right="920"/>
        <w:spacing w:after="0" w:line="212" w:lineRule="auto"/>
        <w:rPr>
          <w:rFonts w:ascii="Arial" w:cs="Arial" w:eastAsia="Arial" w:hAnsi="Arial"/>
          <w:sz w:val="18"/>
          <w:szCs w:val="18"/>
          <w:color w:val="auto"/>
        </w:rPr>
      </w:pPr>
      <w:r>
        <w:rPr>
          <w:rFonts w:ascii="Arial" w:cs="Arial" w:eastAsia="Arial" w:hAnsi="Arial"/>
          <w:sz w:val="18"/>
          <w:szCs w:val="18"/>
          <w:color w:val="auto"/>
        </w:rPr>
        <w:t>The assertions embodied in the representations and warranties made in the Share Purchase Agreement are solely for the benefit of the parties to the Share Purchase Agreement, and are qualified by information in confidential disclosure schedules exchanged in connection with signing the Share Purchase Agreement. While Leggett does not believe the schedules contain information required to be publicly disclosed, the schedules contain information that modifies, qualifies and creates exceptions to the representations and warranties in the Share Purchase Agreement. You are not a third-party beneficiary to the Share Purchase Agreement and should not rely on the representations and warranties as characterizations of the actual state of facts, since (i) they are modified in part by the disclosure schedules, (ii) they may have changed since the date of the Share Purchase Agreement, (iii) they may represent only the parties’ risk allocation in this particular transaction, and (iv) they may be qualified by materiality standards that differ from what may be viewed as material for securities law purposes. The Share Purchase Agreement has been included to provide you with information regarding its terms. It is not intended to provide any other factual information about Leggett. Information about Leggett can be found in this annual report on Form 10-K, and in other public filings it makes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r>
        <w:rPr>
          <w:rFonts w:ascii="Arial" w:cs="Arial" w:eastAsia="Arial" w:hAnsi="Arial"/>
          <w:sz w:val="19"/>
          <w:szCs w:val="19"/>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9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SIGNATURES</w:t>
      </w:r>
    </w:p>
    <w:p>
      <w:pPr>
        <w:spacing w:after="0" w:line="200" w:lineRule="exact"/>
        <w:rPr>
          <w:sz w:val="20"/>
          <w:szCs w:val="20"/>
          <w:color w:val="auto"/>
        </w:rPr>
      </w:pPr>
    </w:p>
    <w:p>
      <w:pPr>
        <w:ind w:right="120" w:firstLine="442"/>
        <w:spacing w:after="0" w:line="268"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LEGGETT &amp; PLATT, INCORPORATED</w:t>
      </w:r>
    </w:p>
    <w:p>
      <w:pPr>
        <w:spacing w:after="0" w:line="289" w:lineRule="exact"/>
        <w:rPr>
          <w:sz w:val="20"/>
          <w:szCs w:val="20"/>
          <w:color w:val="auto"/>
        </w:rPr>
      </w:pPr>
    </w:p>
    <w:tbl>
      <w:tblPr>
        <w:tblLayout w:type="fixed"/>
        <w:tblInd w:w="5740" w:type="dxa"/>
        <w:tblCellMar>
          <w:top w:w="0" w:type="dxa"/>
          <w:left w:w="0" w:type="dxa"/>
          <w:bottom w:w="0" w:type="dxa"/>
          <w:right w:w="0" w:type="dxa"/>
        </w:tblCellMar>
      </w:tblPr>
      <w:tr>
        <w:trPr>
          <w:trHeight w:val="233"/>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K</w:t>
            </w:r>
            <w:r>
              <w:rPr>
                <w:rFonts w:ascii="Arial" w:cs="Arial" w:eastAsia="Arial" w:hAnsi="Arial"/>
                <w:sz w:val="14"/>
                <w:szCs w:val="14"/>
                <w:b w:val="1"/>
                <w:bCs w:val="1"/>
                <w:color w:val="auto"/>
              </w:rPr>
              <w:t>ARL</w:t>
            </w:r>
            <w:r>
              <w:rPr>
                <w:rFonts w:ascii="Arial" w:cs="Arial" w:eastAsia="Arial" w:hAnsi="Arial"/>
                <w:sz w:val="18"/>
                <w:szCs w:val="18"/>
                <w:b w:val="1"/>
                <w:bCs w:val="1"/>
                <w:color w:val="auto"/>
              </w:rPr>
              <w:t xml:space="preserve"> G. G</w:t>
            </w:r>
            <w:r>
              <w:rPr>
                <w:rFonts w:ascii="Arial" w:cs="Arial" w:eastAsia="Arial" w:hAnsi="Arial"/>
                <w:sz w:val="14"/>
                <w:szCs w:val="14"/>
                <w:b w:val="1"/>
                <w:bCs w:val="1"/>
                <w:color w:val="auto"/>
              </w:rPr>
              <w:t>LASSMAN</w:t>
            </w:r>
          </w:p>
        </w:tc>
      </w:tr>
      <w:tr>
        <w:trPr>
          <w:trHeight w:val="216"/>
        </w:trPr>
        <w:tc>
          <w:tcPr>
            <w:tcW w:w="44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9"/>
              </w:rPr>
              <w:t>Karl G. Glassman</w:t>
            </w:r>
          </w:p>
        </w:tc>
      </w:tr>
      <w:tr>
        <w:trPr>
          <w:trHeight w:val="236"/>
        </w:trPr>
        <w:tc>
          <w:tcPr>
            <w:tcW w:w="4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251" w:lineRule="exact"/>
        <w:rPr>
          <w:sz w:val="20"/>
          <w:szCs w:val="20"/>
          <w:color w:val="auto"/>
        </w:rPr>
      </w:pPr>
    </w:p>
    <w:p>
      <w:pPr>
        <w:ind w:right="500" w:firstLine="402"/>
        <w:spacing w:after="0" w:line="273" w:lineRule="auto"/>
        <w:rPr>
          <w:sz w:val="20"/>
          <w:szCs w:val="20"/>
          <w:color w:val="auto"/>
        </w:rPr>
      </w:pPr>
      <w:r>
        <w:rPr>
          <w:rFonts w:ascii="Arial" w:cs="Arial" w:eastAsia="Arial" w:hAnsi="Arial"/>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7"/>
                <w:szCs w:val="17"/>
                <w:color w:val="auto"/>
              </w:rPr>
            </w:pPr>
          </w:p>
        </w:tc>
        <w:tc>
          <w:tcPr>
            <w:tcW w:w="4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3"/>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21"/>
                <w:szCs w:val="21"/>
                <w:b w:val="1"/>
                <w:bCs w:val="1"/>
                <w:color w:val="auto"/>
              </w:rPr>
              <w:t>(a) Principal Executive Officer:</w:t>
            </w:r>
          </w:p>
        </w:tc>
        <w:tc>
          <w:tcPr>
            <w:tcW w:w="240" w:type="dxa"/>
            <w:vAlign w:val="bottom"/>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43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/s/ KARL G. GLASSMAN</w:t>
            </w:r>
          </w:p>
        </w:tc>
        <w:tc>
          <w:tcPr>
            <w:tcW w:w="240" w:type="dxa"/>
            <w:vAlign w:val="bottom"/>
          </w:tcPr>
          <w:p>
            <w:pPr>
              <w:spacing w:after="0"/>
              <w:rPr>
                <w:sz w:val="24"/>
                <w:szCs w:val="24"/>
                <w:color w:val="auto"/>
              </w:rPr>
            </w:pPr>
          </w:p>
        </w:tc>
        <w:tc>
          <w:tcPr>
            <w:tcW w:w="462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President and Chief Executive Officer</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118"/>
        </w:trPr>
        <w:tc>
          <w:tcPr>
            <w:tcW w:w="432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9"/>
              </w:rPr>
              <w:t>Karl G. Glassman</w:t>
            </w:r>
          </w:p>
        </w:tc>
        <w:tc>
          <w:tcPr>
            <w:tcW w:w="240" w:type="dxa"/>
            <w:vAlign w:val="bottom"/>
          </w:tcPr>
          <w:p>
            <w:pPr>
              <w:spacing w:after="0"/>
              <w:rPr>
                <w:sz w:val="8"/>
                <w:szCs w:val="8"/>
                <w:color w:val="auto"/>
              </w:rPr>
            </w:pPr>
          </w:p>
        </w:tc>
        <w:tc>
          <w:tcPr>
            <w:tcW w:w="4620" w:type="dxa"/>
            <w:vAlign w:val="bottom"/>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3"/>
        </w:trPr>
        <w:tc>
          <w:tcPr>
            <w:tcW w:w="4320" w:type="dxa"/>
            <w:vAlign w:val="bottom"/>
          </w:tcPr>
          <w:p>
            <w:pPr>
              <w:ind w:left="20"/>
              <w:spacing w:after="0"/>
              <w:rPr>
                <w:sz w:val="20"/>
                <w:szCs w:val="20"/>
                <w:color w:val="auto"/>
              </w:rPr>
            </w:pPr>
            <w:r>
              <w:rPr>
                <w:rFonts w:ascii="Arial" w:cs="Arial" w:eastAsia="Arial" w:hAnsi="Arial"/>
                <w:sz w:val="21"/>
                <w:szCs w:val="21"/>
                <w:b w:val="1"/>
                <w:bCs w:val="1"/>
                <w:color w:val="auto"/>
              </w:rPr>
              <w:t>(b) Principal Financial Officer:</w:t>
            </w: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B</w:t>
            </w:r>
            <w:r>
              <w:rPr>
                <w:rFonts w:ascii="Arial" w:cs="Arial" w:eastAsia="Arial" w:hAnsi="Arial"/>
                <w:sz w:val="14"/>
                <w:szCs w:val="14"/>
                <w:b w:val="1"/>
                <w:bCs w:val="1"/>
                <w:color w:val="auto"/>
              </w:rPr>
              <w:t>ENJAMIN</w:t>
            </w:r>
            <w:r>
              <w:rPr>
                <w:rFonts w:ascii="Arial" w:cs="Arial" w:eastAsia="Arial" w:hAnsi="Arial"/>
                <w:sz w:val="18"/>
                <w:szCs w:val="18"/>
                <w:b w:val="1"/>
                <w:bCs w:val="1"/>
                <w:color w:val="auto"/>
              </w:rPr>
              <w:t xml:space="preserve"> M. B</w:t>
            </w:r>
            <w:r>
              <w:rPr>
                <w:rFonts w:ascii="Arial" w:cs="Arial" w:eastAsia="Arial" w:hAnsi="Arial"/>
                <w:sz w:val="14"/>
                <w:szCs w:val="14"/>
                <w:b w:val="1"/>
                <w:bCs w:val="1"/>
                <w:color w:val="auto"/>
              </w:rPr>
              <w:t>URNS</w:t>
            </w:r>
          </w:p>
        </w:tc>
        <w:tc>
          <w:tcPr>
            <w:tcW w:w="240" w:type="dxa"/>
            <w:vAlign w:val="bottom"/>
          </w:tcPr>
          <w:p>
            <w:pPr>
              <w:spacing w:after="0"/>
              <w:rPr>
                <w:sz w:val="24"/>
                <w:szCs w:val="24"/>
                <w:color w:val="auto"/>
              </w:rPr>
            </w:pPr>
          </w:p>
        </w:tc>
        <w:tc>
          <w:tcPr>
            <w:tcW w:w="462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Executive Vice President and 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5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Benjamin M. Burns</w:t>
            </w:r>
          </w:p>
        </w:tc>
        <w:tc>
          <w:tcPr>
            <w:tcW w:w="2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4320" w:type="dxa"/>
            <w:vAlign w:val="bottom"/>
          </w:tcPr>
          <w:p>
            <w:pPr>
              <w:ind w:left="20"/>
              <w:spacing w:after="0"/>
              <w:rPr>
                <w:sz w:val="20"/>
                <w:szCs w:val="20"/>
                <w:color w:val="auto"/>
              </w:rPr>
            </w:pPr>
            <w:r>
              <w:rPr>
                <w:rFonts w:ascii="Arial" w:cs="Arial" w:eastAsia="Arial" w:hAnsi="Arial"/>
                <w:sz w:val="21"/>
                <w:szCs w:val="21"/>
                <w:b w:val="1"/>
                <w:bCs w:val="1"/>
                <w:color w:val="auto"/>
              </w:rPr>
              <w:t>(c) Principal Accounting Officer:</w:t>
            </w: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 T</w:t>
            </w:r>
            <w:r>
              <w:rPr>
                <w:rFonts w:ascii="Arial" w:cs="Arial" w:eastAsia="Arial" w:hAnsi="Arial"/>
                <w:sz w:val="14"/>
                <w:szCs w:val="14"/>
                <w:b w:val="1"/>
                <w:bCs w:val="1"/>
                <w:color w:val="auto"/>
              </w:rPr>
              <w:t>AMMY</w:t>
            </w:r>
            <w:r>
              <w:rPr>
                <w:rFonts w:ascii="Arial" w:cs="Arial" w:eastAsia="Arial" w:hAnsi="Arial"/>
                <w:sz w:val="18"/>
                <w:szCs w:val="18"/>
                <w:b w:val="1"/>
                <w:bCs w:val="1"/>
                <w:color w:val="auto"/>
              </w:rPr>
              <w:t xml:space="preserve"> M. T</w:t>
            </w:r>
            <w:r>
              <w:rPr>
                <w:rFonts w:ascii="Arial" w:cs="Arial" w:eastAsia="Arial" w:hAnsi="Arial"/>
                <w:sz w:val="14"/>
                <w:szCs w:val="14"/>
                <w:b w:val="1"/>
                <w:bCs w:val="1"/>
                <w:color w:val="auto"/>
              </w:rPr>
              <w:t>RENT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Senior Vice President and Chief Accounting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7"/>
        </w:trPr>
        <w:tc>
          <w:tcPr>
            <w:tcW w:w="4320" w:type="dxa"/>
            <w:vAlign w:val="bottom"/>
          </w:tcPr>
          <w:p>
            <w:pPr>
              <w:jc w:val="center"/>
              <w:spacing w:after="0"/>
              <w:rPr>
                <w:sz w:val="20"/>
                <w:szCs w:val="20"/>
                <w:color w:val="auto"/>
              </w:rPr>
            </w:pPr>
            <w:r>
              <w:rPr>
                <w:rFonts w:ascii="Arial" w:cs="Arial" w:eastAsia="Arial" w:hAnsi="Arial"/>
                <w:sz w:val="18"/>
                <w:szCs w:val="18"/>
                <w:color w:val="auto"/>
                <w:w w:val="96"/>
              </w:rPr>
              <w:t>Tammy M. Trent</w:t>
            </w:r>
          </w:p>
        </w:tc>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4320" w:type="dxa"/>
            <w:vAlign w:val="bottom"/>
          </w:tcPr>
          <w:p>
            <w:pPr>
              <w:ind w:left="20"/>
              <w:spacing w:after="0"/>
              <w:rPr>
                <w:sz w:val="20"/>
                <w:szCs w:val="20"/>
                <w:color w:val="auto"/>
              </w:rPr>
            </w:pPr>
            <w:r>
              <w:rPr>
                <w:rFonts w:ascii="Arial" w:cs="Arial" w:eastAsia="Arial" w:hAnsi="Arial"/>
                <w:sz w:val="21"/>
                <w:szCs w:val="21"/>
                <w:b w:val="1"/>
                <w:bCs w:val="1"/>
                <w:color w:val="auto"/>
              </w:rPr>
              <w:t>(d) Directors:</w:t>
            </w: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NGELA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ARBEE*</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Angela Barbee</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OBERT</w:t>
            </w:r>
            <w:r>
              <w:rPr>
                <w:rFonts w:ascii="Arial" w:cs="Arial" w:eastAsia="Arial" w:hAnsi="Arial"/>
                <w:sz w:val="18"/>
                <w:szCs w:val="18"/>
                <w:b w:val="1"/>
                <w:bCs w:val="1"/>
                <w:color w:val="auto"/>
              </w:rPr>
              <w:t xml:space="preserve"> E. B</w:t>
            </w:r>
            <w:r>
              <w:rPr>
                <w:rFonts w:ascii="Arial" w:cs="Arial" w:eastAsia="Arial" w:hAnsi="Arial"/>
                <w:sz w:val="14"/>
                <w:szCs w:val="14"/>
                <w:b w:val="1"/>
                <w:bCs w:val="1"/>
                <w:color w:val="auto"/>
              </w:rPr>
              <w:t>RUNNER*</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Robert E. Brunner</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AMPBELL</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Mary Campbell</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ARL</w:t>
            </w:r>
            <w:r>
              <w:rPr>
                <w:rFonts w:ascii="Arial" w:cs="Arial" w:eastAsia="Arial" w:hAnsi="Arial"/>
                <w:sz w:val="18"/>
                <w:szCs w:val="18"/>
                <w:b w:val="1"/>
                <w:bCs w:val="1"/>
                <w:color w:val="auto"/>
              </w:rPr>
              <w:t xml:space="preserve"> G. G</w:t>
            </w:r>
            <w:r>
              <w:rPr>
                <w:rFonts w:ascii="Arial" w:cs="Arial" w:eastAsia="Arial" w:hAnsi="Arial"/>
                <w:sz w:val="14"/>
                <w:szCs w:val="14"/>
                <w:b w:val="1"/>
                <w:bCs w:val="1"/>
                <w:color w:val="auto"/>
              </w:rPr>
              <w:t>LASSMAN*</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Karl G. Glassman</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2"/>
        </w:trPr>
        <w:tc>
          <w:tcPr>
            <w:tcW w:w="4320" w:type="dxa"/>
            <w:vAlign w:val="bottom"/>
          </w:tcPr>
          <w:p>
            <w:pPr>
              <w:spacing w:after="0"/>
              <w:rPr>
                <w:sz w:val="24"/>
                <w:szCs w:val="24"/>
                <w:color w:val="auto"/>
              </w:rPr>
            </w:pPr>
          </w:p>
        </w:tc>
        <w:tc>
          <w:tcPr>
            <w:tcW w:w="4440" w:type="dxa"/>
            <w:vAlign w:val="bottom"/>
            <w:gridSpan w:val="2"/>
          </w:tcPr>
          <w:p>
            <w:pPr>
              <w:jc w:val="right"/>
              <w:ind w:right="2893"/>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20" w:type="dxa"/>
            <w:vAlign w:val="bottom"/>
          </w:tcPr>
          <w:p>
            <w:pPr>
              <w:spacing w:after="0"/>
              <w:rPr>
                <w:sz w:val="17"/>
                <w:szCs w:val="17"/>
                <w:color w:val="auto"/>
              </w:rPr>
            </w:pPr>
          </w:p>
        </w:tc>
        <w:tc>
          <w:tcPr>
            <w:tcW w:w="20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Date</w:t>
            </w:r>
          </w:p>
        </w:tc>
      </w:tr>
      <w:tr>
        <w:trPr>
          <w:trHeight w:val="46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OSEPH</w:t>
            </w:r>
            <w:r>
              <w:rPr>
                <w:rFonts w:ascii="Arial" w:cs="Arial" w:eastAsia="Arial" w:hAnsi="Arial"/>
                <w:sz w:val="18"/>
                <w:szCs w:val="18"/>
                <w:b w:val="1"/>
                <w:bCs w:val="1"/>
                <w:color w:val="auto"/>
              </w:rPr>
              <w:t xml:space="preserve"> W. M</w:t>
            </w:r>
            <w:r>
              <w:rPr>
                <w:rFonts w:ascii="Arial" w:cs="Arial" w:eastAsia="Arial" w:hAnsi="Arial"/>
                <w:sz w:val="14"/>
                <w:szCs w:val="14"/>
                <w:b w:val="1"/>
                <w:bCs w:val="1"/>
                <w:color w:val="auto"/>
              </w:rPr>
              <w:t>C</w:t>
            </w:r>
            <w:r>
              <w:rPr>
                <w:rFonts w:ascii="Arial" w:cs="Arial" w:eastAsia="Arial" w:hAnsi="Arial"/>
                <w:sz w:val="18"/>
                <w:szCs w:val="18"/>
                <w:b w:val="1"/>
                <w:bCs w:val="1"/>
                <w:color w:val="auto"/>
              </w:rPr>
              <w:t>C</w:t>
            </w:r>
            <w:r>
              <w:rPr>
                <w:rFonts w:ascii="Arial" w:cs="Arial" w:eastAsia="Arial" w:hAnsi="Arial"/>
                <w:sz w:val="14"/>
                <w:szCs w:val="14"/>
                <w:b w:val="1"/>
                <w:bCs w:val="1"/>
                <w:color w:val="auto"/>
              </w:rPr>
              <w:t>LANATHAN</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8"/>
              </w:rPr>
              <w:t>Joseph W. McClanathan</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RIKANTH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ADMANABHAN</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8"/>
              </w:rPr>
              <w:t>Srikanth Padmanabhan</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8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w:t>
            </w:r>
            <w:r>
              <w:rPr>
                <w:rFonts w:ascii="Arial" w:cs="Arial" w:eastAsia="Arial" w:hAnsi="Arial"/>
                <w:sz w:val="14"/>
                <w:szCs w:val="14"/>
                <w:b w:val="1"/>
                <w:bCs w:val="1"/>
                <w:color w:val="auto"/>
                <w:w w:val="99"/>
              </w:rPr>
              <w:t>AI</w:t>
            </w:r>
            <w:r>
              <w:rPr>
                <w:rFonts w:ascii="Arial" w:cs="Arial" w:eastAsia="Arial" w:hAnsi="Arial"/>
                <w:sz w:val="18"/>
                <w:szCs w:val="18"/>
                <w:b w:val="1"/>
                <w:bCs w:val="1"/>
                <w:color w:val="auto"/>
                <w:w w:val="99"/>
              </w:rPr>
              <w:t xml:space="preserve"> S</w:t>
            </w:r>
            <w:r>
              <w:rPr>
                <w:rFonts w:ascii="Arial" w:cs="Arial" w:eastAsia="Arial" w:hAnsi="Arial"/>
                <w:sz w:val="14"/>
                <w:szCs w:val="14"/>
                <w:b w:val="1"/>
                <w:bCs w:val="1"/>
                <w:color w:val="auto"/>
                <w:w w:val="99"/>
              </w:rPr>
              <w:t>HAH</w:t>
            </w:r>
            <w:r>
              <w:rPr>
                <w:rFonts w:ascii="Arial" w:cs="Arial" w:eastAsia="Arial" w:hAnsi="Arial"/>
                <w:sz w:val="18"/>
                <w:szCs w:val="18"/>
                <w:b w:val="1"/>
                <w:bCs w:val="1"/>
                <w:color w:val="auto"/>
                <w:w w:val="99"/>
              </w:rPr>
              <w: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Jai Shah</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HOEBE</w:t>
            </w:r>
            <w:r>
              <w:rPr>
                <w:rFonts w:ascii="Arial" w:cs="Arial" w:eastAsia="Arial" w:hAnsi="Arial"/>
                <w:sz w:val="18"/>
                <w:szCs w:val="18"/>
                <w:b w:val="1"/>
                <w:bCs w:val="1"/>
                <w:color w:val="auto"/>
              </w:rPr>
              <w:t xml:space="preserve"> A. W</w:t>
            </w:r>
            <w:r>
              <w:rPr>
                <w:rFonts w:ascii="Arial" w:cs="Arial" w:eastAsia="Arial" w:hAnsi="Arial"/>
                <w:sz w:val="14"/>
                <w:szCs w:val="14"/>
                <w:b w:val="1"/>
                <w:bCs w:val="1"/>
                <w:color w:val="auto"/>
              </w:rPr>
              <w:t>OOD</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46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Director</w:t>
            </w:r>
          </w:p>
        </w:tc>
        <w:tc>
          <w:tcPr>
            <w:tcW w:w="2060" w:type="dxa"/>
            <w:vAlign w:val="bottom"/>
          </w:tcPr>
          <w:p>
            <w:pPr>
              <w:spacing w:after="0"/>
              <w:rPr>
                <w:sz w:val="24"/>
                <w:szCs w:val="24"/>
                <w:color w:val="auto"/>
              </w:rPr>
            </w:pPr>
          </w:p>
        </w:tc>
      </w:tr>
      <w:tr>
        <w:trPr>
          <w:trHeight w:val="229"/>
        </w:trPr>
        <w:tc>
          <w:tcPr>
            <w:tcW w:w="4320" w:type="dxa"/>
            <w:vAlign w:val="bottom"/>
          </w:tcPr>
          <w:p>
            <w:pPr>
              <w:jc w:val="center"/>
              <w:spacing w:after="0"/>
              <w:rPr>
                <w:sz w:val="20"/>
                <w:szCs w:val="20"/>
                <w:color w:val="auto"/>
              </w:rPr>
            </w:pPr>
            <w:r>
              <w:rPr>
                <w:rFonts w:ascii="Arial" w:cs="Arial" w:eastAsia="Arial" w:hAnsi="Arial"/>
                <w:sz w:val="18"/>
                <w:szCs w:val="18"/>
                <w:color w:val="auto"/>
                <w:w w:val="98"/>
              </w:rPr>
              <w:t>Phoebe A. Wood</w:t>
            </w:r>
          </w:p>
        </w:tc>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 S. S</w:t>
            </w:r>
            <w:r>
              <w:rPr>
                <w:rFonts w:ascii="Arial" w:cs="Arial" w:eastAsia="Arial" w:hAnsi="Arial"/>
                <w:sz w:val="14"/>
                <w:szCs w:val="14"/>
                <w:b w:val="1"/>
                <w:bCs w:val="1"/>
                <w:color w:val="auto"/>
                <w:w w:val="99"/>
              </w:rPr>
              <w:t>COTT</w:t>
            </w:r>
            <w:r>
              <w:rPr>
                <w:rFonts w:ascii="Arial" w:cs="Arial" w:eastAsia="Arial" w:hAnsi="Arial"/>
                <w:sz w:val="18"/>
                <w:szCs w:val="18"/>
                <w:b w:val="1"/>
                <w:bCs w:val="1"/>
                <w:color w:val="auto"/>
                <w:w w:val="99"/>
              </w:rPr>
              <w:t xml:space="preserve"> L</w:t>
            </w:r>
            <w:r>
              <w:rPr>
                <w:rFonts w:ascii="Arial" w:cs="Arial" w:eastAsia="Arial" w:hAnsi="Arial"/>
                <w:sz w:val="14"/>
                <w:szCs w:val="14"/>
                <w:b w:val="1"/>
                <w:bCs w:val="1"/>
                <w:color w:val="auto"/>
                <w:w w:val="99"/>
              </w:rPr>
              <w:t>UTON</w:t>
            </w:r>
          </w:p>
        </w:tc>
        <w:tc>
          <w:tcPr>
            <w:tcW w:w="5220" w:type="dxa"/>
            <w:vAlign w:val="bottom"/>
          </w:tcPr>
          <w:p>
            <w:pPr>
              <w:spacing w:after="0"/>
              <w:rPr>
                <w:sz w:val="20"/>
                <w:szCs w:val="20"/>
                <w:color w:val="auto"/>
              </w:rPr>
            </w:pPr>
          </w:p>
        </w:tc>
      </w:tr>
      <w:tr>
        <w:trPr>
          <w:trHeight w:val="229"/>
        </w:trPr>
        <w:tc>
          <w:tcPr>
            <w:tcW w:w="64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9"/>
              </w:rPr>
              <w:t>S. Scott Luton</w:t>
            </w:r>
          </w:p>
        </w:tc>
        <w:tc>
          <w:tcPr>
            <w:tcW w:w="5220" w:type="dxa"/>
            <w:vAlign w:val="bottom"/>
          </w:tcPr>
          <w:p>
            <w:pPr>
              <w:spacing w:after="0"/>
              <w:rPr>
                <w:sz w:val="19"/>
                <w:szCs w:val="19"/>
                <w:color w:val="auto"/>
              </w:rPr>
            </w:pPr>
          </w:p>
        </w:tc>
      </w:tr>
      <w:tr>
        <w:trPr>
          <w:trHeight w:val="233"/>
        </w:trPr>
        <w:tc>
          <w:tcPr>
            <w:tcW w:w="64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c>
          <w:tcPr>
            <w:tcW w:w="5220" w:type="dxa"/>
            <w:vAlign w:val="bottom"/>
          </w:tcPr>
          <w:p>
            <w:pPr>
              <w:ind w:left="3760"/>
              <w:spacing w:after="0"/>
              <w:rPr>
                <w:sz w:val="20"/>
                <w:szCs w:val="20"/>
                <w:color w:val="auto"/>
              </w:rPr>
            </w:pPr>
            <w:r>
              <w:rPr>
                <w:rFonts w:ascii="Arial" w:cs="Arial" w:eastAsia="Arial" w:hAnsi="Arial"/>
                <w:sz w:val="18"/>
                <w:szCs w:val="18"/>
                <w:color w:val="auto"/>
                <w:w w:val="97"/>
              </w:rPr>
              <w:t>February 26, 2026</w:t>
            </w:r>
          </w:p>
        </w:tc>
      </w:tr>
      <w:tr>
        <w:trPr>
          <w:trHeight w:val="121"/>
        </w:trPr>
        <w:tc>
          <w:tcPr>
            <w:tcW w:w="640" w:type="dxa"/>
            <w:vAlign w:val="bottom"/>
          </w:tcPr>
          <w:p>
            <w:pPr>
              <w:spacing w:after="0"/>
              <w:rPr>
                <w:sz w:val="10"/>
                <w:szCs w:val="10"/>
                <w:color w:val="auto"/>
              </w:rPr>
            </w:pPr>
          </w:p>
        </w:tc>
        <w:tc>
          <w:tcPr>
            <w:tcW w:w="4080" w:type="dxa"/>
            <w:vAlign w:val="bottom"/>
          </w:tcPr>
          <w:p>
            <w:pPr>
              <w:jc w:val="center"/>
              <w:spacing w:after="0" w:line="121" w:lineRule="exact"/>
              <w:rPr>
                <w:sz w:val="20"/>
                <w:szCs w:val="20"/>
                <w:color w:val="auto"/>
              </w:rPr>
            </w:pPr>
            <w:r>
              <w:rPr>
                <w:rFonts w:ascii="Arial" w:cs="Arial" w:eastAsia="Arial" w:hAnsi="Arial"/>
                <w:sz w:val="13"/>
                <w:szCs w:val="13"/>
                <w:color w:val="auto"/>
              </w:rPr>
              <w:t>Under Power-of-Attorney</w:t>
            </w:r>
          </w:p>
        </w:tc>
        <w:tc>
          <w:tcPr>
            <w:tcW w:w="5220" w:type="dxa"/>
            <w:vAlign w:val="bottom"/>
          </w:tcPr>
          <w:p>
            <w:pPr>
              <w:spacing w:after="0"/>
              <w:rPr>
                <w:sz w:val="10"/>
                <w:szCs w:val="10"/>
                <w:color w:val="auto"/>
              </w:rPr>
            </w:pPr>
          </w:p>
        </w:tc>
      </w:tr>
      <w:tr>
        <w:trPr>
          <w:trHeight w:val="236"/>
        </w:trPr>
        <w:tc>
          <w:tcPr>
            <w:tcW w:w="64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7"/>
              </w:rPr>
              <w:t>dated</w:t>
            </w:r>
          </w:p>
        </w:tc>
        <w:tc>
          <w:tcPr>
            <w:tcW w:w="5220" w:type="dxa"/>
            <w:vAlign w:val="bottom"/>
          </w:tcPr>
          <w:p>
            <w:pPr>
              <w:spacing w:after="0"/>
              <w:rPr>
                <w:sz w:val="20"/>
                <w:szCs w:val="20"/>
                <w:color w:val="auto"/>
              </w:rPr>
            </w:pPr>
          </w:p>
        </w:tc>
      </w:tr>
      <w:tr>
        <w:trPr>
          <w:trHeight w:val="236"/>
        </w:trPr>
        <w:tc>
          <w:tcPr>
            <w:tcW w:w="64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5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10.11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SHEET OF DIRECTOR COMPENSATION</w:t>
      </w: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following summary sets forth annual rates of cash and equity compensation for non-management directors, as adopted at the November 5, 2024 and November 6, 2025 Board meetings.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Annual</w:t>
            </w:r>
          </w:p>
        </w:tc>
        <w:tc>
          <w:tcPr>
            <w:tcW w:w="180" w:type="dxa"/>
            <w:vAlign w:val="bottom"/>
          </w:tcPr>
          <w:p>
            <w:pPr>
              <w:spacing w:after="0"/>
              <w:rPr>
                <w:sz w:val="16"/>
                <w:szCs w:val="16"/>
                <w:color w:val="auto"/>
              </w:rPr>
            </w:pPr>
          </w:p>
        </w:tc>
        <w:tc>
          <w:tcPr>
            <w:tcW w:w="1720" w:type="dxa"/>
            <w:vAlign w:val="bottom"/>
          </w:tcPr>
          <w:p>
            <w:pPr>
              <w:jc w:val="center"/>
              <w:ind w:right="96"/>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Compensation Rates</w:t>
            </w:r>
          </w:p>
        </w:tc>
        <w:tc>
          <w:tcPr>
            <w:tcW w:w="180" w:type="dxa"/>
            <w:vAlign w:val="bottom"/>
          </w:tcPr>
          <w:p>
            <w:pPr>
              <w:spacing w:after="0"/>
              <w:rPr>
                <w:sz w:val="15"/>
                <w:szCs w:val="15"/>
                <w:color w:val="auto"/>
              </w:rPr>
            </w:pPr>
          </w:p>
        </w:tc>
        <w:tc>
          <w:tcPr>
            <w:tcW w:w="1720" w:type="dxa"/>
            <w:vAlign w:val="bottom"/>
          </w:tcPr>
          <w:p>
            <w:pPr>
              <w:jc w:val="center"/>
              <w:ind w:right="96"/>
              <w:spacing w:after="0"/>
              <w:rPr>
                <w:sz w:val="20"/>
                <w:szCs w:val="20"/>
                <w:color w:val="auto"/>
              </w:rPr>
            </w:pPr>
            <w:r>
              <w:rPr>
                <w:rFonts w:ascii="Arial" w:cs="Arial" w:eastAsia="Arial" w:hAnsi="Arial"/>
                <w:sz w:val="14"/>
                <w:szCs w:val="14"/>
                <w:b w:val="1"/>
                <w:bCs w:val="1"/>
                <w:color w:val="auto"/>
              </w:rPr>
              <w:t>Compensation Rates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gridSpan w:val="5"/>
          </w:tcPr>
          <w:p>
            <w:pPr>
              <w:spacing w:after="0"/>
              <w:rPr>
                <w:sz w:val="20"/>
                <w:szCs w:val="20"/>
                <w:color w:val="auto"/>
              </w:rPr>
            </w:pPr>
            <w:r>
              <w:rPr>
                <w:rFonts w:ascii="Arial" w:cs="Arial" w:eastAsia="Arial" w:hAnsi="Arial"/>
                <w:sz w:val="14"/>
                <w:szCs w:val="14"/>
                <w:b w:val="1"/>
                <w:bCs w:val="1"/>
                <w:color w:val="auto"/>
              </w:rPr>
              <w:t>Compensation Item</w:t>
            </w:r>
          </w:p>
        </w:tc>
        <w:tc>
          <w:tcPr>
            <w:tcW w:w="200" w:type="dxa"/>
            <w:vAlign w:val="bottom"/>
          </w:tcPr>
          <w:p>
            <w:pPr>
              <w:spacing w:after="0"/>
              <w:rPr>
                <w:sz w:val="15"/>
                <w:szCs w:val="15"/>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Approved</w:t>
            </w:r>
          </w:p>
        </w:tc>
        <w:tc>
          <w:tcPr>
            <w:tcW w:w="180" w:type="dxa"/>
            <w:vAlign w:val="bottom"/>
          </w:tcPr>
          <w:p>
            <w:pPr>
              <w:spacing w:after="0"/>
              <w:rPr>
                <w:sz w:val="15"/>
                <w:szCs w:val="15"/>
                <w:color w:val="auto"/>
              </w:rPr>
            </w:pPr>
          </w:p>
        </w:tc>
        <w:tc>
          <w:tcPr>
            <w:tcW w:w="1720" w:type="dxa"/>
            <w:vAlign w:val="bottom"/>
          </w:tcPr>
          <w:p>
            <w:pPr>
              <w:jc w:val="center"/>
              <w:ind w:right="96"/>
              <w:spacing w:after="0"/>
              <w:rPr>
                <w:sz w:val="20"/>
                <w:szCs w:val="20"/>
                <w:color w:val="auto"/>
              </w:rPr>
            </w:pPr>
            <w:r>
              <w:rPr>
                <w:rFonts w:ascii="Arial" w:cs="Arial" w:eastAsia="Arial" w:hAnsi="Arial"/>
                <w:sz w:val="14"/>
                <w:szCs w:val="14"/>
                <w:b w:val="1"/>
                <w:bCs w:val="1"/>
                <w:color w:val="auto"/>
              </w:rPr>
              <w:t>Approved</w:t>
            </w:r>
          </w:p>
        </w:tc>
        <w:tc>
          <w:tcPr>
            <w:tcW w:w="0" w:type="dxa"/>
            <w:vAlign w:val="bottom"/>
          </w:tcPr>
          <w:p>
            <w:pPr>
              <w:spacing w:after="0"/>
              <w:rPr>
                <w:sz w:val="1"/>
                <w:szCs w:val="1"/>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November 5, 2024</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November 6, 2025</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53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Compensation</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5"/>
            <w:vMerge w:val="restart"/>
          </w:tcPr>
          <w:p>
            <w:pPr>
              <w:ind w:left="680"/>
              <w:spacing w:after="0"/>
              <w:rPr>
                <w:sz w:val="20"/>
                <w:szCs w:val="20"/>
                <w:color w:val="auto"/>
              </w:rPr>
            </w:pPr>
            <w:r>
              <w:rPr>
                <w:rFonts w:ascii="Arial" w:cs="Arial" w:eastAsia="Arial" w:hAnsi="Arial"/>
                <w:sz w:val="18"/>
                <w:szCs w:val="18"/>
                <w:color w:val="auto"/>
              </w:rPr>
              <w:t>Board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3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Audit Committee</w:t>
            </w: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5"/>
            <w:vMerge w:val="restart"/>
          </w:tcPr>
          <w:p>
            <w:pPr>
              <w:ind w:left="680"/>
              <w:spacing w:after="0"/>
              <w:rPr>
                <w:sz w:val="20"/>
                <w:szCs w:val="20"/>
                <w:color w:val="auto"/>
              </w:rPr>
            </w:pPr>
            <w:r>
              <w:rPr>
                <w:rFonts w:ascii="Arial" w:cs="Arial" w:eastAsia="Arial" w:hAnsi="Arial"/>
                <w:sz w:val="18"/>
                <w:szCs w:val="18"/>
                <w:color w:val="auto"/>
              </w:rPr>
              <w:t>Chair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3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vMerge w:val="restart"/>
            <w:shd w:val="clear" w:color="auto" w:fill="CCEEFF"/>
          </w:tcPr>
          <w:p>
            <w:pPr>
              <w:ind w:left="680"/>
              <w:spacing w:after="0"/>
              <w:rPr>
                <w:sz w:val="20"/>
                <w:szCs w:val="20"/>
                <w:color w:val="auto"/>
              </w:rPr>
            </w:pPr>
            <w:r>
              <w:rPr>
                <w:rFonts w:ascii="Arial" w:cs="Arial" w:eastAsia="Arial" w:hAnsi="Arial"/>
                <w:sz w:val="18"/>
                <w:szCs w:val="18"/>
                <w:color w:val="auto"/>
              </w:rPr>
              <w:t>Member Retainer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5300" w:type="dxa"/>
            <w:vAlign w:val="bottom"/>
            <w:gridSpan w:val="5"/>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5"/>
          </w:tcPr>
          <w:p>
            <w:pPr>
              <w:ind w:left="200"/>
              <w:spacing w:after="0"/>
              <w:rPr>
                <w:sz w:val="20"/>
                <w:szCs w:val="20"/>
                <w:color w:val="auto"/>
              </w:rPr>
            </w:pPr>
            <w:r>
              <w:rPr>
                <w:rFonts w:ascii="Arial" w:cs="Arial" w:eastAsia="Arial" w:hAnsi="Arial"/>
                <w:sz w:val="18"/>
                <w:szCs w:val="18"/>
                <w:b w:val="1"/>
                <w:bCs w:val="1"/>
                <w:i w:val="1"/>
                <w:iCs w:val="1"/>
                <w:color w:val="auto"/>
              </w:rPr>
              <w:t>Human Resources &amp; Compensation Committee</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vMerge w:val="restart"/>
            <w:shd w:val="clear" w:color="auto" w:fill="CCEEFF"/>
          </w:tcPr>
          <w:p>
            <w:pPr>
              <w:ind w:left="680"/>
              <w:spacing w:after="0"/>
              <w:rPr>
                <w:sz w:val="20"/>
                <w:szCs w:val="20"/>
                <w:color w:val="auto"/>
              </w:rPr>
            </w:pPr>
            <w:r>
              <w:rPr>
                <w:rFonts w:ascii="Arial" w:cs="Arial" w:eastAsia="Arial" w:hAnsi="Arial"/>
                <w:sz w:val="18"/>
                <w:szCs w:val="18"/>
                <w:color w:val="auto"/>
              </w:rPr>
              <w:t>Chair Retainer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5300" w:type="dxa"/>
            <w:vAlign w:val="bottom"/>
            <w:gridSpan w:val="5"/>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5"/>
            <w:vMerge w:val="restart"/>
          </w:tcPr>
          <w:p>
            <w:pPr>
              <w:ind w:left="680"/>
              <w:spacing w:after="0"/>
              <w:rPr>
                <w:sz w:val="20"/>
                <w:szCs w:val="20"/>
                <w:color w:val="auto"/>
              </w:rPr>
            </w:pPr>
            <w:r>
              <w:rPr>
                <w:rFonts w:ascii="Arial" w:cs="Arial" w:eastAsia="Arial" w:hAnsi="Arial"/>
                <w:sz w:val="18"/>
                <w:szCs w:val="18"/>
                <w:color w:val="auto"/>
              </w:rPr>
              <w:t>Member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3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Nominating, Governance &amp; Sustainability</w:t>
            </w:r>
          </w:p>
        </w:tc>
        <w:tc>
          <w:tcPr>
            <w:tcW w:w="2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530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Committee</w:t>
            </w: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5"/>
            <w:vMerge w:val="restart"/>
          </w:tcPr>
          <w:p>
            <w:pPr>
              <w:ind w:left="680"/>
              <w:spacing w:after="0"/>
              <w:rPr>
                <w:sz w:val="20"/>
                <w:szCs w:val="20"/>
                <w:color w:val="auto"/>
              </w:rPr>
            </w:pPr>
            <w:r>
              <w:rPr>
                <w:rFonts w:ascii="Arial" w:cs="Arial" w:eastAsia="Arial" w:hAnsi="Arial"/>
                <w:sz w:val="18"/>
                <w:szCs w:val="18"/>
                <w:color w:val="auto"/>
              </w:rPr>
              <w:t>Chair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3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vMerge w:val="restart"/>
            <w:shd w:val="clear" w:color="auto" w:fill="CCEEFF"/>
          </w:tcPr>
          <w:p>
            <w:pPr>
              <w:ind w:left="680"/>
              <w:spacing w:after="0"/>
              <w:rPr>
                <w:sz w:val="20"/>
                <w:szCs w:val="20"/>
                <w:color w:val="auto"/>
              </w:rPr>
            </w:pPr>
            <w:r>
              <w:rPr>
                <w:rFonts w:ascii="Arial" w:cs="Arial" w:eastAsia="Arial" w:hAnsi="Arial"/>
                <w:sz w:val="18"/>
                <w:szCs w:val="18"/>
                <w:color w:val="auto"/>
              </w:rPr>
              <w:t>Member Retainer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5300" w:type="dxa"/>
            <w:vAlign w:val="bottom"/>
            <w:gridSpan w:val="5"/>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53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 Compensation—Restricted Stock or Restricted</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Stock Units</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gridSpan w:val="5"/>
            <w:vMerge w:val="restart"/>
          </w:tcPr>
          <w:p>
            <w:pPr>
              <w:ind w:left="680"/>
              <w:spacing w:after="0"/>
              <w:rPr>
                <w:sz w:val="20"/>
                <w:szCs w:val="20"/>
                <w:color w:val="auto"/>
              </w:rPr>
            </w:pPr>
            <w:r>
              <w:rPr>
                <w:rFonts w:ascii="Arial" w:cs="Arial" w:eastAsia="Arial" w:hAnsi="Arial"/>
                <w:sz w:val="18"/>
                <w:szCs w:val="18"/>
                <w:color w:val="auto"/>
              </w:rPr>
              <w:t>Director Retainer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3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5300" w:type="dxa"/>
            <w:vAlign w:val="bottom"/>
            <w:gridSpan w:val="5"/>
            <w:vMerge w:val="restart"/>
            <w:shd w:val="clear" w:color="auto" w:fill="CCEEFF"/>
          </w:tcPr>
          <w:p>
            <w:pPr>
              <w:ind w:left="680"/>
              <w:spacing w:after="0"/>
              <w:rPr>
                <w:sz w:val="20"/>
                <w:szCs w:val="20"/>
                <w:color w:val="auto"/>
              </w:rPr>
            </w:pPr>
            <w:r>
              <w:rPr>
                <w:rFonts w:ascii="Arial" w:cs="Arial" w:eastAsia="Arial" w:hAnsi="Arial"/>
                <w:sz w:val="18"/>
                <w:szCs w:val="18"/>
                <w:color w:val="auto"/>
              </w:rPr>
              <w:t>Lead Director, Additional Retainer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5300" w:type="dxa"/>
            <w:vAlign w:val="bottom"/>
            <w:gridSpan w:val="5"/>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Directors may defer their cash compensation by participating in the Company’s Deferred Compensation Program, effective October 30, 2024 (filed November 1, 2024 as Exhibit 10.1 to the Company’s Form 8-K). Directors may receive the equity component of their compensation in restricted stock or restricted stock units (“</w:t>
      </w:r>
      <w:r>
        <w:rPr>
          <w:rFonts w:ascii="Arial" w:cs="Arial" w:eastAsia="Arial" w:hAnsi="Arial"/>
          <w:sz w:val="20"/>
          <w:szCs w:val="20"/>
          <w:i w:val="1"/>
          <w:iCs w:val="1"/>
          <w:color w:val="auto"/>
        </w:rPr>
        <w:t>RSUs</w:t>
      </w:r>
      <w:r>
        <w:rPr>
          <w:rFonts w:ascii="Arial" w:cs="Arial" w:eastAsia="Arial" w:hAnsi="Arial"/>
          <w:sz w:val="20"/>
          <w:szCs w:val="20"/>
          <w:color w:val="auto"/>
        </w:rPr>
        <w:t>”). In either case, the awards generally vest on the day preceding the following year’s annual meeting of shareholders. Vesting accelerates in the event of death, disability or, if the director’s service is terminated upon a change in control of the Company. The Board determines the number of shares by dividing the dollar value by the average closing price per share of the Company’s stock for the 10 trading days following the prior year fourth quarter earnings release.</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RSUs are settled in shares of common stock and earn dividend equivalents at a 20% discount to the market price of Company stock on the dividend payment date. Directors may elect to defer settlement of the RSU award for 2 to 10 years after the grant date.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The Company pays for travel expenses incurred by the directors to attend Board meetings.</w:t>
      </w:r>
    </w:p>
    <w:p>
      <w:pPr>
        <w:sectPr>
          <w:pgSz w:w="11900" w:h="16838" w:orient="portrait"/>
          <w:cols w:equalWidth="0" w:num="1">
            <w:col w:w="11240"/>
          </w:cols>
          <w:pgMar w:left="320" w:top="1162" w:right="339" w:bottom="1440" w:gutter="0" w:footer="0" w:header="0"/>
        </w:sectPr>
      </w:pPr>
    </w:p>
    <w:bookmarkStart w:id="132" w:name="page133"/>
    <w:bookmarkEnd w:id="132"/>
    <w:p>
      <w:pPr>
        <w:ind w:left="9940"/>
        <w:spacing w:after="0"/>
        <w:rPr>
          <w:sz w:val="20"/>
          <w:szCs w:val="20"/>
          <w:color w:val="auto"/>
        </w:rPr>
      </w:pPr>
      <w:r>
        <w:rPr>
          <w:rFonts w:ascii="Arial" w:cs="Arial" w:eastAsia="Arial" w:hAnsi="Arial"/>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LEGGETT &amp; PLATT, INCORPORATED</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INSIDER TRADING POLICY</w:t>
      </w:r>
    </w:p>
    <w:p>
      <w:pPr>
        <w:spacing w:after="0" w:line="371" w:lineRule="exact"/>
        <w:rPr>
          <w:sz w:val="20"/>
          <w:szCs w:val="20"/>
          <w:color w:val="auto"/>
        </w:rPr>
      </w:pPr>
    </w:p>
    <w:p>
      <w:pPr>
        <w:ind w:left="320" w:hanging="320"/>
        <w:spacing w:after="0"/>
        <w:tabs>
          <w:tab w:leader="none" w:pos="32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Provisions</w:t>
      </w:r>
    </w:p>
    <w:p>
      <w:pPr>
        <w:spacing w:after="0" w:line="159" w:lineRule="exact"/>
        <w:rPr>
          <w:sz w:val="20"/>
          <w:szCs w:val="20"/>
          <w:color w:val="auto"/>
        </w:rPr>
      </w:pPr>
    </w:p>
    <w:p>
      <w:pPr>
        <w:ind w:left="640" w:hanging="319"/>
        <w:spacing w:after="0"/>
        <w:tabs>
          <w:tab w:leader="none" w:pos="6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p>
    <w:p>
      <w:pPr>
        <w:spacing w:after="0" w:line="150"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i w:val="1"/>
          <w:iCs w:val="1"/>
          <w:color w:val="auto"/>
        </w:rPr>
        <w:t>Policy</w:t>
      </w:r>
      <w:r>
        <w:rPr>
          <w:rFonts w:ascii="Arial" w:cs="Arial" w:eastAsia="Arial" w:hAnsi="Arial"/>
          <w:sz w:val="18"/>
          <w:szCs w:val="18"/>
          <w:color w:val="auto"/>
        </w:rPr>
        <w:t>”) provides guidelines with respect to transactions in the securities of, and the handling of confidential information about, Leggett &amp; Platt, Incorporated and its subsidiaries (the “</w:t>
      </w:r>
      <w:r>
        <w:rPr>
          <w:rFonts w:ascii="Arial" w:cs="Arial" w:eastAsia="Arial" w:hAnsi="Arial"/>
          <w:sz w:val="18"/>
          <w:szCs w:val="18"/>
          <w:i w:val="1"/>
          <w:iCs w:val="1"/>
          <w:color w:val="auto"/>
        </w:rPr>
        <w:t>Company</w:t>
      </w:r>
      <w:r>
        <w:rPr>
          <w:rFonts w:ascii="Arial" w:cs="Arial" w:eastAsia="Arial" w:hAnsi="Arial"/>
          <w:sz w:val="18"/>
          <w:szCs w:val="18"/>
          <w:color w:val="auto"/>
        </w:rPr>
        <w:t>”) and other companies to which this Policy applies. The Company’s Board of Directors has adopted this Policy to promote compliance with U.S. federal and state securities laws and regulations that prohibit certain persons who are aware of material nonpublic information (“</w:t>
      </w:r>
      <w:r>
        <w:rPr>
          <w:rFonts w:ascii="Arial" w:cs="Arial" w:eastAsia="Arial" w:hAnsi="Arial"/>
          <w:sz w:val="18"/>
          <w:szCs w:val="18"/>
          <w:i w:val="1"/>
          <w:iCs w:val="1"/>
          <w:color w:val="auto"/>
        </w:rPr>
        <w:t>MNPI</w:t>
      </w:r>
      <w:r>
        <w:rPr>
          <w:rFonts w:ascii="Arial" w:cs="Arial" w:eastAsia="Arial" w:hAnsi="Arial"/>
          <w:sz w:val="18"/>
          <w:szCs w:val="18"/>
          <w:color w:val="auto"/>
        </w:rPr>
        <w:t>”) about a company from: (i) engaging in transactions in the securities of that company; or (ii) providing MNPI to other persons who may trade on the basis of that information.</w:t>
      </w:r>
    </w:p>
    <w:p>
      <w:pPr>
        <w:spacing w:after="0" w:line="110" w:lineRule="exact"/>
        <w:rPr>
          <w:sz w:val="20"/>
          <w:szCs w:val="20"/>
          <w:color w:val="auto"/>
        </w:rPr>
      </w:pPr>
    </w:p>
    <w:p>
      <w:pPr>
        <w:ind w:left="640" w:hanging="319"/>
        <w:spacing w:after="0"/>
        <w:tabs>
          <w:tab w:leader="none" w:pos="64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Covered Persons</w:t>
      </w:r>
    </w:p>
    <w:p>
      <w:pPr>
        <w:spacing w:after="0" w:line="150"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This Policy applies to all directors, officers, and other employees of the Company and its subsidiaries as well as (a) anyone living in such person’s household; (b) a family member whose securities transactions the director, officer or employee directs; and (c) entities that the director, officer or employee controls, such as corporations, partnerships and trusts (collectively “</w:t>
      </w:r>
      <w:r>
        <w:rPr>
          <w:rFonts w:ascii="Arial" w:cs="Arial" w:eastAsia="Arial" w:hAnsi="Arial"/>
          <w:sz w:val="18"/>
          <w:szCs w:val="18"/>
          <w:i w:val="1"/>
          <w:iCs w:val="1"/>
          <w:color w:val="auto"/>
        </w:rPr>
        <w:t>Covered Persons</w:t>
      </w:r>
      <w:r>
        <w:rPr>
          <w:rFonts w:ascii="Arial" w:cs="Arial" w:eastAsia="Arial" w:hAnsi="Arial"/>
          <w:sz w:val="18"/>
          <w:szCs w:val="18"/>
          <w:color w:val="auto"/>
        </w:rPr>
        <w:t>”). The Company’s General Counsel is authorized to designate others who will be subject to this Policy. Also, as included in Section C below, the Company is subject to this Policy.</w:t>
      </w:r>
    </w:p>
    <w:p>
      <w:pPr>
        <w:spacing w:after="0" w:line="107" w:lineRule="exact"/>
        <w:rPr>
          <w:sz w:val="20"/>
          <w:szCs w:val="20"/>
          <w:color w:val="auto"/>
        </w:rPr>
      </w:pPr>
    </w:p>
    <w:p>
      <w:pPr>
        <w:ind w:left="640" w:hanging="319"/>
        <w:spacing w:after="0"/>
        <w:tabs>
          <w:tab w:leader="none" w:pos="64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Securities</w:t>
      </w:r>
    </w:p>
    <w:p>
      <w:pPr>
        <w:spacing w:after="0" w:line="150" w:lineRule="exact"/>
        <w:rPr>
          <w:sz w:val="20"/>
          <w:szCs w:val="20"/>
          <w:color w:val="auto"/>
        </w:rPr>
      </w:pPr>
    </w:p>
    <w:p>
      <w:pPr>
        <w:ind w:left="320" w:right="20"/>
        <w:spacing w:after="0" w:line="282" w:lineRule="auto"/>
        <w:rPr>
          <w:sz w:val="20"/>
          <w:szCs w:val="20"/>
          <w:color w:val="auto"/>
        </w:rPr>
      </w:pPr>
      <w:r>
        <w:rPr>
          <w:rFonts w:ascii="Arial" w:cs="Arial" w:eastAsia="Arial" w:hAnsi="Arial"/>
          <w:sz w:val="18"/>
          <w:szCs w:val="18"/>
          <w:color w:val="auto"/>
        </w:rPr>
        <w:t>This Policy applies to transactions in securities including common stock, stock options, stock units, debt securities, warrants, convertible securities, and all other derivative securities tied to the value of those securities (“Securities”).</w:t>
      </w:r>
    </w:p>
    <w:p>
      <w:pPr>
        <w:spacing w:after="0" w:line="72" w:lineRule="exact"/>
        <w:rPr>
          <w:sz w:val="20"/>
          <w:szCs w:val="20"/>
          <w:color w:val="auto"/>
        </w:rPr>
      </w:pPr>
    </w:p>
    <w:p>
      <w:pPr>
        <w:ind w:left="640" w:hanging="319"/>
        <w:spacing w:after="0"/>
        <w:tabs>
          <w:tab w:leader="none" w:pos="64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Company Assistance</w:t>
      </w:r>
    </w:p>
    <w:p>
      <w:pPr>
        <w:spacing w:after="0" w:line="164" w:lineRule="exact"/>
        <w:rPr>
          <w:sz w:val="20"/>
          <w:szCs w:val="20"/>
          <w:color w:val="auto"/>
        </w:rPr>
      </w:pPr>
    </w:p>
    <w:p>
      <w:pPr>
        <w:jc w:val="both"/>
        <w:ind w:left="300" w:right="20"/>
        <w:spacing w:after="0" w:line="257" w:lineRule="auto"/>
        <w:rPr>
          <w:sz w:val="20"/>
          <w:szCs w:val="20"/>
          <w:color w:val="auto"/>
        </w:rPr>
      </w:pPr>
      <w:r>
        <w:rPr>
          <w:rFonts w:ascii="Arial" w:cs="Arial" w:eastAsia="Arial" w:hAnsi="Arial"/>
          <w:sz w:val="18"/>
          <w:szCs w:val="18"/>
          <w:color w:val="auto"/>
        </w:rPr>
        <w:t>If any questions arise about this Policy or its application to any proposed transaction, additional guidance may be obtained from the Legal Department at legal@leggett.com. The General Counsel shall be responsible for the administration of this Policy and has authority to interpret and amend this Policy. This authority includes waiving the terms of the Policy, to the extent consistent with its general purpose and applicable securities laws. All determinations and interpretations by the General Counsel shall be final and not subject to further review.</w:t>
      </w:r>
    </w:p>
    <w:p>
      <w:pPr>
        <w:spacing w:after="0" w:line="94" w:lineRule="exact"/>
        <w:rPr>
          <w:sz w:val="20"/>
          <w:szCs w:val="20"/>
          <w:color w:val="auto"/>
        </w:rPr>
      </w:pPr>
    </w:p>
    <w:p>
      <w:pPr>
        <w:ind w:left="640" w:hanging="319"/>
        <w:spacing w:after="0"/>
        <w:tabs>
          <w:tab w:leader="none" w:pos="64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Material Nonpublic Information</w:t>
      </w:r>
    </w:p>
    <w:p>
      <w:pPr>
        <w:spacing w:after="0" w:line="164"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b w:val="1"/>
          <w:bCs w:val="1"/>
          <w:u w:val="single" w:color="auto"/>
          <w:color w:val="auto"/>
        </w:rPr>
        <w:t>Material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is material if there is a substantial likelihood that a reasonable investor would consider it important in</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 decision to buy, hold or sell securities. Information reasonably expected to affect the price of a security, whether positive or negative, can be material. There is no bright-line standard for assessing materiality; rather, materiality is based on an assessment of all facts and circumstances. Some examples of information that may be regarded as material include:</w:t>
      </w:r>
    </w:p>
    <w:p>
      <w:pPr>
        <w:spacing w:after="0" w:line="114" w:lineRule="exact"/>
        <w:rPr>
          <w:sz w:val="20"/>
          <w:szCs w:val="20"/>
          <w:color w:val="auto"/>
        </w:rPr>
      </w:pPr>
    </w:p>
    <w:p>
      <w:pPr>
        <w:ind w:left="780" w:hanging="149"/>
        <w:spacing w:after="0"/>
        <w:tabs>
          <w:tab w:leader="none" w:pos="780" w:val="left"/>
        </w:tabs>
        <w:numPr>
          <w:ilvl w:val="0"/>
          <w:numId w:val="99"/>
        </w:numPr>
        <w:rPr>
          <w:rFonts w:ascii="Arial" w:cs="Arial" w:eastAsia="Arial" w:hAnsi="Arial"/>
          <w:sz w:val="25"/>
          <w:szCs w:val="25"/>
          <w:color w:val="auto"/>
        </w:rPr>
      </w:pPr>
      <w:r>
        <w:rPr>
          <w:rFonts w:ascii="Arial" w:cs="Arial" w:eastAsia="Arial" w:hAnsi="Arial"/>
          <w:sz w:val="18"/>
          <w:szCs w:val="18"/>
          <w:color w:val="auto"/>
        </w:rPr>
        <w:t>Annual and quarterly earnings announcements;</w:t>
      </w:r>
    </w:p>
    <w:p>
      <w:pPr>
        <w:spacing w:after="0" w:line="24" w:lineRule="exact"/>
        <w:rPr>
          <w:rFonts w:ascii="Arial" w:cs="Arial" w:eastAsia="Arial" w:hAnsi="Arial"/>
          <w:sz w:val="25"/>
          <w:szCs w:val="25"/>
          <w:color w:val="auto"/>
        </w:rPr>
      </w:pPr>
    </w:p>
    <w:p>
      <w:pPr>
        <w:ind w:left="780" w:hanging="149"/>
        <w:spacing w:after="0" w:line="237" w:lineRule="auto"/>
        <w:tabs>
          <w:tab w:leader="none" w:pos="780" w:val="left"/>
        </w:tabs>
        <w:numPr>
          <w:ilvl w:val="0"/>
          <w:numId w:val="99"/>
        </w:numPr>
        <w:rPr>
          <w:rFonts w:ascii="Arial" w:cs="Arial" w:eastAsia="Arial" w:hAnsi="Arial"/>
          <w:sz w:val="25"/>
          <w:szCs w:val="25"/>
          <w:color w:val="auto"/>
        </w:rPr>
      </w:pPr>
      <w:r>
        <w:rPr>
          <w:rFonts w:ascii="Arial" w:cs="Arial" w:eastAsia="Arial" w:hAnsi="Arial"/>
          <w:sz w:val="18"/>
          <w:szCs w:val="18"/>
          <w:color w:val="auto"/>
        </w:rPr>
        <w:t>Projections of future earnings or losses, or other guidance and changes to guidance;</w:t>
      </w:r>
    </w:p>
    <w:p>
      <w:pPr>
        <w:spacing w:after="0" w:line="24" w:lineRule="exact"/>
        <w:rPr>
          <w:rFonts w:ascii="Arial" w:cs="Arial" w:eastAsia="Arial" w:hAnsi="Arial"/>
          <w:sz w:val="25"/>
          <w:szCs w:val="25"/>
          <w:color w:val="auto"/>
        </w:rPr>
      </w:pPr>
    </w:p>
    <w:p>
      <w:pPr>
        <w:ind w:left="780" w:hanging="149"/>
        <w:spacing w:after="0" w:line="226" w:lineRule="auto"/>
        <w:tabs>
          <w:tab w:leader="none" w:pos="780" w:val="left"/>
        </w:tabs>
        <w:numPr>
          <w:ilvl w:val="0"/>
          <w:numId w:val="99"/>
        </w:numPr>
        <w:rPr>
          <w:rFonts w:ascii="Arial" w:cs="Arial" w:eastAsia="Arial" w:hAnsi="Arial"/>
          <w:sz w:val="25"/>
          <w:szCs w:val="25"/>
          <w:color w:val="auto"/>
        </w:rPr>
      </w:pPr>
      <w:r>
        <w:rPr>
          <w:rFonts w:ascii="Arial" w:cs="Arial" w:eastAsia="Arial" w:hAnsi="Arial"/>
          <w:sz w:val="18"/>
          <w:szCs w:val="18"/>
          <w:color w:val="auto"/>
        </w:rPr>
        <w:t>A significant proposed merger, tender offer, acquisition, divestiture or joint venture;</w:t>
      </w:r>
    </w:p>
    <w:p>
      <w:pPr>
        <w:spacing w:after="0" w:line="24" w:lineRule="exact"/>
        <w:rPr>
          <w:rFonts w:ascii="Arial" w:cs="Arial" w:eastAsia="Arial" w:hAnsi="Arial"/>
          <w:sz w:val="25"/>
          <w:szCs w:val="25"/>
          <w:color w:val="auto"/>
        </w:rPr>
      </w:pPr>
    </w:p>
    <w:p>
      <w:pPr>
        <w:ind w:left="780" w:hanging="149"/>
        <w:spacing w:after="0" w:line="226" w:lineRule="auto"/>
        <w:tabs>
          <w:tab w:leader="none" w:pos="780" w:val="left"/>
        </w:tabs>
        <w:numPr>
          <w:ilvl w:val="0"/>
          <w:numId w:val="99"/>
        </w:numPr>
        <w:rPr>
          <w:rFonts w:ascii="Arial" w:cs="Arial" w:eastAsia="Arial" w:hAnsi="Arial"/>
          <w:sz w:val="25"/>
          <w:szCs w:val="25"/>
          <w:color w:val="auto"/>
        </w:rPr>
      </w:pPr>
      <w:r>
        <w:rPr>
          <w:rFonts w:ascii="Arial" w:cs="Arial" w:eastAsia="Arial" w:hAnsi="Arial"/>
          <w:sz w:val="18"/>
          <w:szCs w:val="18"/>
          <w:color w:val="auto"/>
        </w:rPr>
        <w:t>Major Company debt or equity restructurings;</w:t>
      </w:r>
    </w:p>
    <w:p>
      <w:pPr>
        <w:spacing w:after="0" w:line="24" w:lineRule="exact"/>
        <w:rPr>
          <w:rFonts w:ascii="Arial" w:cs="Arial" w:eastAsia="Arial" w:hAnsi="Arial"/>
          <w:sz w:val="25"/>
          <w:szCs w:val="25"/>
          <w:color w:val="auto"/>
        </w:rPr>
      </w:pPr>
    </w:p>
    <w:p>
      <w:pPr>
        <w:ind w:left="780" w:hanging="149"/>
        <w:spacing w:after="0" w:line="237" w:lineRule="auto"/>
        <w:tabs>
          <w:tab w:leader="none" w:pos="780" w:val="left"/>
        </w:tabs>
        <w:numPr>
          <w:ilvl w:val="0"/>
          <w:numId w:val="99"/>
        </w:numPr>
        <w:rPr>
          <w:rFonts w:ascii="Arial" w:cs="Arial" w:eastAsia="Arial" w:hAnsi="Arial"/>
          <w:sz w:val="25"/>
          <w:szCs w:val="25"/>
          <w:color w:val="auto"/>
        </w:rPr>
      </w:pPr>
      <w:r>
        <w:rPr>
          <w:rFonts w:ascii="Arial" w:cs="Arial" w:eastAsia="Arial" w:hAnsi="Arial"/>
          <w:sz w:val="18"/>
          <w:szCs w:val="18"/>
          <w:color w:val="auto"/>
        </w:rPr>
        <w:t>Significant related party transactions;</w:t>
      </w:r>
    </w:p>
    <w:p>
      <w:pPr>
        <w:sectPr>
          <w:pgSz w:w="11900" w:h="16838" w:orient="portrait"/>
          <w:cols w:equalWidth="0" w:num="1">
            <w:col w:w="11220"/>
          </w:cols>
          <w:pgMar w:left="340" w:top="134" w:right="339" w:bottom="1440" w:gutter="0" w:footer="0" w:header="0"/>
        </w:sectPr>
      </w:pPr>
    </w:p>
    <w:bookmarkStart w:id="133" w:name="page134"/>
    <w:bookmarkEnd w:id="133"/>
    <w:p>
      <w:pPr>
        <w:spacing w:after="0" w:line="183" w:lineRule="exact"/>
        <w:rPr>
          <w:sz w:val="20"/>
          <w:szCs w:val="20"/>
          <w:color w:val="auto"/>
        </w:rPr>
      </w:pPr>
    </w:p>
    <w:p>
      <w:pPr>
        <w:ind w:left="820" w:right="220" w:hanging="169"/>
        <w:spacing w:after="0" w:line="212" w:lineRule="auto"/>
        <w:tabs>
          <w:tab w:leader="none" w:pos="814" w:val="left"/>
        </w:tabs>
        <w:numPr>
          <w:ilvl w:val="0"/>
          <w:numId w:val="100"/>
        </w:numPr>
        <w:rPr>
          <w:rFonts w:ascii="Arial" w:cs="Arial" w:eastAsia="Arial" w:hAnsi="Arial"/>
          <w:sz w:val="25"/>
          <w:szCs w:val="25"/>
          <w:color w:val="auto"/>
        </w:rPr>
      </w:pPr>
      <w:r>
        <w:rPr>
          <w:rFonts w:ascii="Arial" w:cs="Arial" w:eastAsia="Arial" w:hAnsi="Arial"/>
          <w:sz w:val="18"/>
          <w:szCs w:val="18"/>
          <w:color w:val="auto"/>
        </w:rPr>
        <w:t>Changes in dividend policy, a stock split, an offering of additional securities, restrictive debt covenants, or management’s financial targets;</w:t>
      </w:r>
    </w:p>
    <w:p>
      <w:pPr>
        <w:ind w:left="800" w:hanging="149"/>
        <w:spacing w:after="0" w:line="190"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Defaults on company Securities or loans;</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Bank borrowings or other financing transactions out of the ordinary course;</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Establishment, modification or termination of a stock repurchase program;</w:t>
      </w:r>
    </w:p>
    <w:p>
      <w:pPr>
        <w:spacing w:after="0" w:line="24" w:lineRule="exact"/>
        <w:rPr>
          <w:rFonts w:ascii="Arial" w:cs="Arial" w:eastAsia="Arial" w:hAnsi="Arial"/>
          <w:sz w:val="25"/>
          <w:szCs w:val="25"/>
          <w:color w:val="auto"/>
        </w:rPr>
      </w:pPr>
    </w:p>
    <w:p>
      <w:pPr>
        <w:ind w:left="800" w:hanging="149"/>
        <w:spacing w:after="0" w:line="181"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Substantial changes in the company’s pricing or cost structure;</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Major marketing changes;</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Significant labor disputes;</w:t>
      </w:r>
    </w:p>
    <w:p>
      <w:pPr>
        <w:spacing w:after="0" w:line="24" w:lineRule="exact"/>
        <w:rPr>
          <w:rFonts w:ascii="Arial" w:cs="Arial" w:eastAsia="Arial" w:hAnsi="Arial"/>
          <w:sz w:val="25"/>
          <w:szCs w:val="25"/>
          <w:color w:val="auto"/>
        </w:rPr>
      </w:pPr>
    </w:p>
    <w:p>
      <w:pPr>
        <w:ind w:left="800" w:hanging="149"/>
        <w:spacing w:after="0" w:line="181"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Changes in senior management</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Changes in control of the Company;</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Changes in or disagreement with the Company’s external auditors</w:t>
      </w:r>
    </w:p>
    <w:p>
      <w:pPr>
        <w:spacing w:after="0" w:line="24" w:lineRule="exact"/>
        <w:rPr>
          <w:rFonts w:ascii="Arial" w:cs="Arial" w:eastAsia="Arial" w:hAnsi="Arial"/>
          <w:sz w:val="25"/>
          <w:szCs w:val="25"/>
          <w:color w:val="auto"/>
        </w:rPr>
      </w:pPr>
    </w:p>
    <w:p>
      <w:pPr>
        <w:ind w:left="800" w:hanging="149"/>
        <w:spacing w:after="0" w:line="181"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Notification that financial statements may no longer be relied upon;</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Development of a significant new product, process, or service;</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Pending or threatened significant litigation or resolution of such litigation;</w:t>
      </w:r>
    </w:p>
    <w:p>
      <w:pPr>
        <w:spacing w:after="0" w:line="24" w:lineRule="exact"/>
        <w:rPr>
          <w:rFonts w:ascii="Arial" w:cs="Arial" w:eastAsia="Arial" w:hAnsi="Arial"/>
          <w:sz w:val="25"/>
          <w:szCs w:val="25"/>
          <w:color w:val="auto"/>
        </w:rPr>
      </w:pPr>
    </w:p>
    <w:p>
      <w:pPr>
        <w:ind w:left="800" w:hanging="149"/>
        <w:spacing w:after="0" w:line="181"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Impending bankruptcy or the existence of severe liquidity problems;</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Significant asset impairment;</w:t>
      </w:r>
    </w:p>
    <w:p>
      <w:pPr>
        <w:spacing w:after="0" w:line="24" w:lineRule="exact"/>
        <w:rPr>
          <w:rFonts w:ascii="Arial" w:cs="Arial" w:eastAsia="Arial" w:hAnsi="Arial"/>
          <w:sz w:val="25"/>
          <w:szCs w:val="25"/>
          <w:color w:val="auto"/>
        </w:rPr>
      </w:pPr>
    </w:p>
    <w:p>
      <w:pPr>
        <w:ind w:left="820" w:right="140" w:hanging="169"/>
        <w:spacing w:after="0" w:line="202" w:lineRule="auto"/>
        <w:tabs>
          <w:tab w:leader="none" w:pos="814" w:val="left"/>
        </w:tabs>
        <w:numPr>
          <w:ilvl w:val="0"/>
          <w:numId w:val="100"/>
        </w:numPr>
        <w:rPr>
          <w:rFonts w:ascii="Arial" w:cs="Arial" w:eastAsia="Arial" w:hAnsi="Arial"/>
          <w:sz w:val="25"/>
          <w:szCs w:val="25"/>
          <w:color w:val="auto"/>
        </w:rPr>
      </w:pPr>
      <w:r>
        <w:rPr>
          <w:rFonts w:ascii="Arial" w:cs="Arial" w:eastAsia="Arial" w:hAnsi="Arial"/>
          <w:sz w:val="18"/>
          <w:szCs w:val="18"/>
          <w:color w:val="auto"/>
        </w:rPr>
        <w:t>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2" w:lineRule="exact"/>
        <w:rPr>
          <w:rFonts w:ascii="Arial" w:cs="Arial" w:eastAsia="Arial" w:hAnsi="Arial"/>
          <w:sz w:val="25"/>
          <w:szCs w:val="25"/>
          <w:color w:val="auto"/>
        </w:rPr>
      </w:pPr>
    </w:p>
    <w:p>
      <w:pPr>
        <w:ind w:left="800" w:hanging="149"/>
        <w:spacing w:after="0" w:line="201"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Gain or loss of business with a significant customer or supplier;</w:t>
      </w:r>
    </w:p>
    <w:p>
      <w:pPr>
        <w:spacing w:after="0" w:line="24" w:lineRule="exact"/>
        <w:rPr>
          <w:rFonts w:ascii="Arial" w:cs="Arial" w:eastAsia="Arial" w:hAnsi="Arial"/>
          <w:sz w:val="25"/>
          <w:szCs w:val="25"/>
          <w:color w:val="auto"/>
        </w:rPr>
      </w:pPr>
    </w:p>
    <w:p>
      <w:pPr>
        <w:ind w:left="800" w:hanging="149"/>
        <w:spacing w:after="0" w:line="181"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Deterioration in the creditworthiness of significant customers or suppliers;</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Deterioration in credit ratings or status; and</w:t>
      </w:r>
    </w:p>
    <w:p>
      <w:pPr>
        <w:spacing w:after="0" w:line="24" w:lineRule="exact"/>
        <w:rPr>
          <w:rFonts w:ascii="Arial" w:cs="Arial" w:eastAsia="Arial" w:hAnsi="Arial"/>
          <w:sz w:val="25"/>
          <w:szCs w:val="25"/>
          <w:color w:val="auto"/>
        </w:rPr>
      </w:pPr>
    </w:p>
    <w:p>
      <w:pPr>
        <w:ind w:left="800" w:hanging="149"/>
        <w:spacing w:after="0" w:line="192" w:lineRule="auto"/>
        <w:tabs>
          <w:tab w:leader="none" w:pos="800" w:val="left"/>
        </w:tabs>
        <w:numPr>
          <w:ilvl w:val="0"/>
          <w:numId w:val="100"/>
        </w:numPr>
        <w:rPr>
          <w:rFonts w:ascii="Arial" w:cs="Arial" w:eastAsia="Arial" w:hAnsi="Arial"/>
          <w:sz w:val="25"/>
          <w:szCs w:val="25"/>
          <w:color w:val="auto"/>
        </w:rPr>
      </w:pPr>
      <w:r>
        <w:rPr>
          <w:rFonts w:ascii="Arial" w:cs="Arial" w:eastAsia="Arial" w:hAnsi="Arial"/>
          <w:sz w:val="18"/>
          <w:szCs w:val="18"/>
          <w:color w:val="auto"/>
        </w:rPr>
        <w:t>The imposition of an event-specific restriction on trading in Securities or the extension or termination of such restriction.</w:t>
      </w:r>
    </w:p>
    <w:p>
      <w:pPr>
        <w:spacing w:after="0" w:line="207" w:lineRule="exact"/>
        <w:rPr>
          <w:sz w:val="20"/>
          <w:szCs w:val="20"/>
          <w:color w:val="auto"/>
        </w:rPr>
      </w:pPr>
    </w:p>
    <w:p>
      <w:pPr>
        <w:ind w:left="340" w:right="560"/>
        <w:spacing w:after="0" w:line="282" w:lineRule="auto"/>
        <w:rPr>
          <w:sz w:val="20"/>
          <w:szCs w:val="20"/>
          <w:color w:val="auto"/>
        </w:rPr>
      </w:pPr>
      <w:r>
        <w:rPr>
          <w:rFonts w:ascii="Arial" w:cs="Arial" w:eastAsia="Arial" w:hAnsi="Arial"/>
          <w:sz w:val="18"/>
          <w:szCs w:val="18"/>
          <w:color w:val="auto"/>
        </w:rPr>
        <w:t>If the Covered Person is uncertain whether information is material, guidance should be obtained from the General Counsel. A good general rule of thumb: When in doubt, do not trade.</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Nonpublic Information</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becomes public when it is widely disseminated and absorbed by the marketplace.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our information is widely disseminated through a press release or by posting it on EDGAR (the Securities and Exchange Commission’s website). Information should not normally be considered absorbed by the marketplace (and therefore public) until the opening of trading of the regular session on the New York Stock Exchange (“</w:t>
      </w:r>
      <w:r>
        <w:rPr>
          <w:rFonts w:ascii="Arial" w:cs="Arial" w:eastAsia="Arial" w:hAnsi="Arial"/>
          <w:sz w:val="18"/>
          <w:szCs w:val="18"/>
          <w:i w:val="1"/>
          <w:iCs w:val="1"/>
          <w:color w:val="auto"/>
        </w:rPr>
        <w:t>NYSE</w:t>
      </w:r>
      <w:r>
        <w:rPr>
          <w:rFonts w:ascii="Arial" w:cs="Arial" w:eastAsia="Arial" w:hAnsi="Arial"/>
          <w:sz w:val="18"/>
          <w:szCs w:val="18"/>
          <w:color w:val="auto"/>
        </w:rPr>
        <w:t>”) on the third business day after the day on which the information is released or posted.</w:t>
      </w:r>
    </w:p>
    <w:p>
      <w:pPr>
        <w:spacing w:after="0" w:line="93" w:lineRule="exact"/>
        <w:rPr>
          <w:sz w:val="20"/>
          <w:szCs w:val="20"/>
          <w:color w:val="auto"/>
        </w:rPr>
      </w:pPr>
    </w:p>
    <w:p>
      <w:pPr>
        <w:ind w:left="340" w:hanging="320"/>
        <w:spacing w:after="0"/>
        <w:tabs>
          <w:tab w:leader="none" w:pos="340" w:val="left"/>
        </w:tabs>
        <w:numPr>
          <w:ilvl w:val="0"/>
          <w:numId w:val="10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Directors, Officers and Other Employees</w:t>
      </w:r>
    </w:p>
    <w:p>
      <w:pPr>
        <w:spacing w:after="0" w:line="159" w:lineRule="exact"/>
        <w:rPr>
          <w:sz w:val="20"/>
          <w:szCs w:val="20"/>
          <w:color w:val="auto"/>
        </w:rPr>
      </w:pPr>
    </w:p>
    <w:p>
      <w:pPr>
        <w:ind w:left="660" w:hanging="319"/>
        <w:spacing w:after="0"/>
        <w:tabs>
          <w:tab w:leader="none" w:pos="66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Policy Statement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any Covered Person is aware of MNPI about the Company, such Covered Person may not, directly or indirectly:</w:t>
      </w:r>
    </w:p>
    <w:p>
      <w:pPr>
        <w:spacing w:after="0" w:line="155" w:lineRule="exact"/>
        <w:rPr>
          <w:sz w:val="20"/>
          <w:szCs w:val="20"/>
          <w:color w:val="auto"/>
        </w:rPr>
      </w:pPr>
    </w:p>
    <w:p>
      <w:pPr>
        <w:ind w:left="980" w:right="20" w:hanging="329"/>
        <w:spacing w:after="0" w:line="282" w:lineRule="auto"/>
        <w:tabs>
          <w:tab w:leader="none" w:pos="9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Engage in any transaction in Company Securities (except as explained below under Benefit Plan Transactions, Gifts and pursuant to Rule 10b5-1 plans);</w:t>
      </w:r>
    </w:p>
    <w:p>
      <w:pPr>
        <w:spacing w:after="0" w:line="76" w:lineRule="exact"/>
        <w:rPr>
          <w:rFonts w:ascii="Arial" w:cs="Arial" w:eastAsia="Arial" w:hAnsi="Arial"/>
          <w:sz w:val="18"/>
          <w:szCs w:val="18"/>
          <w:color w:val="auto"/>
        </w:rPr>
      </w:pPr>
    </w:p>
    <w:p>
      <w:pPr>
        <w:ind w:left="920" w:hanging="269"/>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Recommend the purchase, sale or retention of Company Securities to others;</w:t>
      </w:r>
    </w:p>
    <w:p>
      <w:pPr>
        <w:spacing w:after="0" w:line="154" w:lineRule="exact"/>
        <w:rPr>
          <w:rFonts w:ascii="Arial" w:cs="Arial" w:eastAsia="Arial" w:hAnsi="Arial"/>
          <w:sz w:val="18"/>
          <w:szCs w:val="18"/>
          <w:color w:val="auto"/>
        </w:rPr>
      </w:pPr>
    </w:p>
    <w:p>
      <w:pPr>
        <w:ind w:left="980" w:right="20" w:hanging="329"/>
        <w:spacing w:after="0" w:line="282" w:lineRule="auto"/>
        <w:tabs>
          <w:tab w:leader="none" w:pos="9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Disclose or “tip” MNPI to persons within the Company, whose jobs do not require them to know it, or outside of the Company to any person unless disclosure is made in accordance with our procedures; or</w:t>
      </w:r>
    </w:p>
    <w:p>
      <w:pPr>
        <w:spacing w:after="0" w:line="76" w:lineRule="exact"/>
        <w:rPr>
          <w:rFonts w:ascii="Arial" w:cs="Arial" w:eastAsia="Arial" w:hAnsi="Arial"/>
          <w:sz w:val="18"/>
          <w:szCs w:val="18"/>
          <w:color w:val="auto"/>
        </w:rPr>
      </w:pPr>
    </w:p>
    <w:p>
      <w:pPr>
        <w:ind w:left="920" w:hanging="269"/>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Assist anyone engaged in the above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Also, if you are aware of MNPI about another company, you may not disclose that information or engage in or recommend any Securities transaction related to that company’s securities.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the policy of the Company that no Covered Person (or any other person designated as subject to this Policy) who, in the course of working for the Company, is aware of MNPI about the Company that would impact the Securities of another company (i) with which the Company does business, including the Company’s customers, suppliers, and business partners, (ii) that is a competitor of the Company, or (iii) that is involved in a potential transaction or business relationship with the Company, may engage in any of the activities set forth in this Section B.1 with respect to that other company’s Securities.</w:t>
      </w:r>
    </w:p>
    <w:p>
      <w:pPr>
        <w:spacing w:after="0" w:line="107" w:lineRule="exact"/>
        <w:rPr>
          <w:sz w:val="20"/>
          <w:szCs w:val="20"/>
          <w:color w:val="auto"/>
        </w:rPr>
      </w:pPr>
    </w:p>
    <w:p>
      <w:pPr>
        <w:ind w:left="400" w:hanging="391"/>
        <w:spacing w:after="0"/>
        <w:tabs>
          <w:tab w:leader="none" w:pos="40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Consequences of Violations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the individual responsibility of each Covered Person to comply with this Policy. Each director, officer and other employee is responsible for the transactions of their related Covered Persons and therefore should make them aware of the need to confer with the director, officer or other employee before they trade in Company Securities, and each director, officer and other employee should treat all such transactions for the purposes of this Policy and applicable securities laws as if the transactions were for his or her own account. In all cases, the responsibility for determining whether a person is aware of MNPI rests with such individuals, and any action on the part of the Company, or any other employee or director pursuant to this Policy (or otherwise) does not in any way constitute legal advice or insulate the Covered Person from liability under applicable securities laws. Punishment for insider trading violations is severe and could include significant fines and imprisonment. Federal securities laws could also impose potential liability on the Company and its “controlling persons” if they fail to take reasonable steps to prevent insider trading by Company personnel. In addition, the failure to comply with this Policy may subject the violator to Company-imposed sanctions, including dismissal for cause, whether or not the Covered Person’s failure to comply results in a violation of law.</w:t>
      </w:r>
    </w:p>
    <w:p>
      <w:pPr>
        <w:spacing w:after="0" w:line="111" w:lineRule="exact"/>
        <w:rPr>
          <w:sz w:val="20"/>
          <w:szCs w:val="20"/>
          <w:color w:val="auto"/>
        </w:rPr>
      </w:pPr>
    </w:p>
    <w:p>
      <w:pPr>
        <w:ind w:left="340" w:hanging="319"/>
        <w:spacing w:after="0"/>
        <w:tabs>
          <w:tab w:leader="none" w:pos="34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Benefit Plan Transactions</w:t>
      </w:r>
    </w:p>
    <w:p>
      <w:pPr>
        <w:spacing w:after="0" w:line="150" w:lineRule="exact"/>
        <w:rPr>
          <w:sz w:val="20"/>
          <w:szCs w:val="20"/>
          <w:color w:val="auto"/>
        </w:rPr>
      </w:pPr>
    </w:p>
    <w:p>
      <w:pPr>
        <w:jc w:val="both"/>
        <w:ind w:left="20" w:right="60"/>
        <w:spacing w:after="0" w:line="255" w:lineRule="auto"/>
        <w:rPr>
          <w:sz w:val="20"/>
          <w:szCs w:val="20"/>
          <w:color w:val="auto"/>
        </w:rPr>
      </w:pPr>
      <w:r>
        <w:rPr>
          <w:rFonts w:ascii="Arial" w:cs="Arial" w:eastAsia="Arial" w:hAnsi="Arial"/>
          <w:sz w:val="18"/>
          <w:szCs w:val="18"/>
          <w:b w:val="1"/>
          <w:bCs w:val="1"/>
          <w:u w:val="single" w:color="auto"/>
          <w:color w:val="auto"/>
        </w:rPr>
        <w:t>Stock Option Exercises</w:t>
      </w:r>
      <w:r>
        <w:rPr>
          <w:rFonts w:ascii="Arial" w:cs="Arial" w:eastAsia="Arial" w:hAnsi="Arial"/>
          <w:sz w:val="18"/>
          <w:szCs w:val="18"/>
          <w:color w:val="auto"/>
        </w:rPr>
        <w:t>. This Policy does not prohibit cash option exercises without a corresponding sale of any such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Unless prior written permission is obtained from the General Counsel, Covered Persons are prohibited from engaging in a non-cash exercise of stock options (even when the Securities acquired from the exercise is held without a corresponding sale) (a) when the Covered Person is aware of MNPI about the Company, or (b) during any blackout period applicable to such Covered Person. This Policy also prohibits the sale of stock pursuant to an option exercise, including a broker-assisted cashless exercise of options, when the Covered Person is aware of MNPI about the Company, or during any blackout period applicable to such person.</w:t>
      </w:r>
    </w:p>
    <w:p>
      <w:pPr>
        <w:spacing w:after="0" w:line="101" w:lineRule="exact"/>
        <w:rPr>
          <w:sz w:val="20"/>
          <w:szCs w:val="20"/>
          <w:color w:val="auto"/>
        </w:rPr>
      </w:pPr>
    </w:p>
    <w:p>
      <w:pPr>
        <w:jc w:val="both"/>
        <w:ind w:left="20" w:right="60"/>
        <w:spacing w:after="0" w:line="265" w:lineRule="auto"/>
        <w:rPr>
          <w:sz w:val="20"/>
          <w:szCs w:val="20"/>
          <w:color w:val="auto"/>
        </w:rPr>
      </w:pPr>
      <w:r>
        <w:rPr>
          <w:rFonts w:ascii="Arial" w:cs="Arial" w:eastAsia="Arial" w:hAnsi="Arial"/>
          <w:sz w:val="18"/>
          <w:szCs w:val="18"/>
          <w:b w:val="1"/>
          <w:bCs w:val="1"/>
          <w:u w:val="single" w:color="auto"/>
          <w:color w:val="auto"/>
        </w:rPr>
        <w:t>Restricted Stock or Unit Awards</w:t>
      </w:r>
      <w:r>
        <w:rPr>
          <w:rFonts w:ascii="Arial" w:cs="Arial" w:eastAsia="Arial" w:hAnsi="Arial"/>
          <w:sz w:val="18"/>
          <w:szCs w:val="18"/>
          <w:color w:val="auto"/>
        </w:rPr>
        <w:t>. This Policy does not apply to the vesting of restricted stock or stock units, or to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satisfy tax requirements upon vesting. However, it does apply to a sale of restricted stock and the sale of shares converted from restricted stock units.</w:t>
      </w:r>
    </w:p>
    <w:p>
      <w:pPr>
        <w:spacing w:after="0" w:line="105"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b w:val="1"/>
          <w:bCs w:val="1"/>
          <w:u w:val="single" w:color="auto"/>
          <w:color w:val="auto"/>
        </w:rPr>
        <w:t>Discount Stock Plan, ESU Program, 401(k) Plan and Deferred Compensation Program</w:t>
      </w:r>
      <w:r>
        <w:rPr>
          <w:rFonts w:ascii="Arial" w:cs="Arial" w:eastAsia="Arial" w:hAnsi="Arial"/>
          <w:sz w:val="18"/>
          <w:szCs w:val="18"/>
          <w:color w:val="auto"/>
        </w:rPr>
        <w:t>. This Policy does not apply to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to purchase Company stock or stock units made through weekly or bi-weekly payroll deductions or dividend reinvestments, as applicable, in the Discount Stock Plan, ESU Program, 401(k) Plan or Deferred Compensation Program. It does apply, however, to: (a) the election to participate in, or to withdraw from, the Discount Stock Plan or ESU Program; (b) the election to defer compensation into Company stock units in the Deferred Compensation Program; (c) the election to establish, increase or decrease your contributions to the Discount Stock Plan or ESU Program, or to establish, increase or decrease the amount of your contributions allocated to Company stock in the 401(k) Plan; (d) the election to reinvest dividends into Company stock in the Discount Stock Plan or 401(k) Plan; (e) a one-time cash purchase of Company stock in the Discount Stock Plan; (f) the election to make an intra-plan transfer in the 401(k) Plan into or out of Company stock; (g) the election to borrow money against a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640" w:top="1440" w:right="359" w:bottom="1440" w:gutter="0" w:footer="0" w:header="0"/>
        </w:sectPr>
      </w:pPr>
    </w:p>
    <w:bookmarkStart w:id="135" w:name="page136"/>
    <w:bookmarkEnd w:id="135"/>
    <w:p>
      <w:pPr>
        <w:spacing w:after="0" w:line="14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account if the loan will result in the liquidation of some or all of your Company stock; and (h) the election to pre-pay a 401(k) Plan loan if the pre-payment will result in allocation of loan proceeds to the Company stock fund.</w:t>
      </w:r>
    </w:p>
    <w:p>
      <w:pPr>
        <w:spacing w:after="0" w:line="85" w:lineRule="exact"/>
        <w:rPr>
          <w:sz w:val="20"/>
          <w:szCs w:val="20"/>
          <w:color w:val="auto"/>
        </w:rPr>
      </w:pPr>
    </w:p>
    <w:p>
      <w:pPr>
        <w:ind w:left="340" w:hanging="319"/>
        <w:spacing w:after="0"/>
        <w:tabs>
          <w:tab w:leader="none" w:pos="34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Gifts</w:t>
      </w:r>
    </w:p>
    <w:p>
      <w:pPr>
        <w:spacing w:after="0" w:line="15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Unless pre-approved in writing by the General Counsel, Covered Persons are prohibited from gifting company Securities if such Covered Person is aware of MNPI.</w:t>
      </w:r>
    </w:p>
    <w:p>
      <w:pPr>
        <w:spacing w:after="0" w:line="85" w:lineRule="exact"/>
        <w:rPr>
          <w:sz w:val="20"/>
          <w:szCs w:val="20"/>
          <w:color w:val="auto"/>
        </w:rPr>
      </w:pPr>
    </w:p>
    <w:p>
      <w:pPr>
        <w:ind w:left="340" w:hanging="319"/>
        <w:spacing w:after="0"/>
        <w:tabs>
          <w:tab w:leader="none" w:pos="34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Prohibited or Discouraged Transactions</w:t>
      </w:r>
    </w:p>
    <w:p>
      <w:pPr>
        <w:spacing w:after="0" w:line="150" w:lineRule="exact"/>
        <w:rPr>
          <w:sz w:val="20"/>
          <w:szCs w:val="20"/>
          <w:color w:val="auto"/>
        </w:rPr>
      </w:pPr>
    </w:p>
    <w:p>
      <w:pPr>
        <w:jc w:val="both"/>
        <w:ind w:left="20" w:hanging="11"/>
        <w:spacing w:after="0" w:line="252" w:lineRule="auto"/>
        <w:rPr>
          <w:sz w:val="20"/>
          <w:szCs w:val="20"/>
          <w:color w:val="auto"/>
        </w:rPr>
      </w:pPr>
      <w:r>
        <w:rPr>
          <w:rFonts w:ascii="Arial" w:cs="Arial" w:eastAsia="Arial" w:hAnsi="Arial"/>
          <w:sz w:val="18"/>
          <w:szCs w:val="18"/>
          <w:b w:val="1"/>
          <w:bCs w:val="1"/>
          <w:u w:val="single" w:color="auto"/>
          <w:color w:val="auto"/>
        </w:rPr>
        <w:t>Short Sales, Exchange-Traded Options and Hedging</w:t>
      </w:r>
      <w:r>
        <w:rPr>
          <w:rFonts w:ascii="Arial" w:cs="Arial" w:eastAsia="Arial" w:hAnsi="Arial"/>
          <w:sz w:val="18"/>
          <w:szCs w:val="18"/>
          <w:color w:val="auto"/>
        </w:rPr>
        <w:t>. Short sales of Company Securities (the sale of common stock that is not owned)</w:t>
      </w:r>
      <w:r>
        <w:rPr>
          <w:rFonts w:ascii="Arial" w:cs="Arial" w:eastAsia="Arial" w:hAnsi="Arial"/>
          <w:sz w:val="18"/>
          <w:szCs w:val="18"/>
          <w:b w:val="1"/>
          <w:bCs w:val="1"/>
          <w:color w:val="auto"/>
        </w:rPr>
        <w:t xml:space="preserve"> </w:t>
      </w:r>
      <w:r>
        <w:rPr>
          <w:rFonts w:ascii="Arial" w:cs="Arial" w:eastAsia="Arial" w:hAnsi="Arial"/>
          <w:sz w:val="18"/>
          <w:szCs w:val="18"/>
          <w:color w:val="auto"/>
        </w:rPr>
        <w:t>and put equivalent positions (selling a call option or buying a put option) may evidence an expectation that Company Securities will decline in value. Exchange-traded options may create the appearance that the Covered Person is trading based on MNPI. Hedging transactions permit the Covered Person to continue to own Company common stock without the full risks and rewards of ownership. Hedging transactions include a variety of transactions, including, for example, prepaid variable forward contracts, equity swaps, collars, and exchange funds, or other transactions that hedge or offset, or are designed to hedge or offset, any decrease in the market value of Company Securities. All of these types of transactions may signal a lack of confidence in the Company’s prospects, focus attention on short-term performance at the expense of the Company’s long-term objectives or create misalignment with the Company’s other shareholders. Consequently, the aforementioned transactions related to Company Securities are prohibited.</w:t>
      </w:r>
    </w:p>
    <w:p>
      <w:pPr>
        <w:spacing w:after="0" w:line="122" w:lineRule="exact"/>
        <w:rPr>
          <w:sz w:val="20"/>
          <w:szCs w:val="20"/>
          <w:color w:val="auto"/>
        </w:rPr>
      </w:pPr>
    </w:p>
    <w:p>
      <w:pPr>
        <w:jc w:val="both"/>
        <w:ind w:left="20" w:hanging="11"/>
        <w:spacing w:after="0" w:line="254" w:lineRule="auto"/>
        <w:rPr>
          <w:sz w:val="20"/>
          <w:szCs w:val="20"/>
          <w:color w:val="auto"/>
        </w:rPr>
      </w:pPr>
      <w:r>
        <w:rPr>
          <w:rFonts w:ascii="Arial" w:cs="Arial" w:eastAsia="Arial" w:hAnsi="Arial"/>
          <w:sz w:val="18"/>
          <w:szCs w:val="18"/>
          <w:b w:val="1"/>
          <w:bCs w:val="1"/>
          <w:u w:val="single" w:color="auto"/>
          <w:color w:val="auto"/>
        </w:rPr>
        <w:t>Standing and Limit Orders</w:t>
      </w:r>
      <w:r>
        <w:rPr>
          <w:rFonts w:ascii="Arial" w:cs="Arial" w:eastAsia="Arial" w:hAnsi="Arial"/>
          <w:sz w:val="18"/>
          <w:szCs w:val="18"/>
          <w:color w:val="auto"/>
        </w:rPr>
        <w:t>. Standing and limit orders (except standing and limit orders under approved Rule 10b5-1 plans) create</w:t>
      </w:r>
      <w:r>
        <w:rPr>
          <w:rFonts w:ascii="Arial" w:cs="Arial" w:eastAsia="Arial" w:hAnsi="Arial"/>
          <w:sz w:val="18"/>
          <w:szCs w:val="18"/>
          <w:b w:val="1"/>
          <w:bCs w:val="1"/>
          <w:color w:val="auto"/>
        </w:rPr>
        <w:t xml:space="preserve"> </w:t>
      </w:r>
      <w:r>
        <w:rPr>
          <w:rFonts w:ascii="Arial" w:cs="Arial" w:eastAsia="Arial" w:hAnsi="Arial"/>
          <w:sz w:val="18"/>
          <w:szCs w:val="18"/>
          <w:color w:val="auto"/>
        </w:rPr>
        <w:t>heightened risks for insider trading violations. There is no control over the timing of purchases or sales that result from standing instructions to a broker. As a result, the broker could execute a transaction when the Covered Person is aware of MNPI. Therefore, the Company discourages placing standing or limit orders on Company Securities. If the Covered Person determines that they must use a standing or limit order, the order must be pre-approved by the General Counsel, must be limited to short duration and must otherwise comply, if applicable, with the restrictions and procedures outlined below under “Additional Procedures and Restrictions for Directors and Certain Employees.”</w:t>
      </w:r>
    </w:p>
    <w:p>
      <w:pPr>
        <w:spacing w:after="0" w:line="97" w:lineRule="exact"/>
        <w:rPr>
          <w:sz w:val="20"/>
          <w:szCs w:val="20"/>
          <w:color w:val="auto"/>
        </w:rPr>
      </w:pPr>
    </w:p>
    <w:p>
      <w:pPr>
        <w:ind w:left="340" w:hanging="319"/>
        <w:spacing w:after="0"/>
        <w:tabs>
          <w:tab w:leader="none" w:pos="34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Procedures and Restrictions for Directors and Certain Employees</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Company has established certain procedures to administer this Policy. These procedures are applicable to directors, Section 16 officers and other persons specifically designated by the General Counsel.</w:t>
      </w:r>
    </w:p>
    <w:p>
      <w:pPr>
        <w:spacing w:after="0" w:line="7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b w:val="1"/>
          <w:bCs w:val="1"/>
          <w:u w:val="single" w:color="auto"/>
          <w:color w:val="auto"/>
        </w:rPr>
        <w:t>Pre-Clearance Procedures</w:t>
      </w:r>
      <w:r>
        <w:rPr>
          <w:rFonts w:ascii="Arial" w:cs="Arial" w:eastAsia="Arial" w:hAnsi="Arial"/>
          <w:sz w:val="18"/>
          <w:szCs w:val="18"/>
          <w:color w:val="auto"/>
        </w:rPr>
        <w:t>. If the Covered Person is a director or Section 16 officer, or a person designated by the General Counsel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Pre-Clearance Persons</w:t>
      </w:r>
      <w:r>
        <w:rPr>
          <w:rFonts w:ascii="Arial" w:cs="Arial" w:eastAsia="Arial" w:hAnsi="Arial"/>
          <w:sz w:val="18"/>
          <w:szCs w:val="18"/>
          <w:color w:val="auto"/>
        </w:rPr>
        <w:t>”), the Pre-Clerance Persons or their respective Covered Persons may not engage in any transaction in Company Securities without first obtaining pre-clearance from the General Counsel, or her designee. A request for pre-clearance should be submitted at least two business days before the proposed transaction. The General Counsel is under no obligation to approve a transaction submitted for pre-clearance, and may determine not to permit the transaction. Any approval must be granted in writing. Unless the Pre-Clerance Persons, or their respective Covered Persons, are notified by the General Counsel, or her designee, of a different timeframe, pre-cleared transactions must occur within five trading days of receipt of pre-clearance. Transactions not effected within this time limit require a new pre-clearance request. If pre-clearance is sought and approval is denied, the Pre-Clearance Person, or their respective Covered Persons, must not engage in the transaction or inform any other person of the restriction. Notwithstanding receipt of pre-clearance, if the Pre-Clearance Person, or their respective Covered Persons, becomes aware of MNPI, or becomes subject to a blackout period before the transaction is effected, the transaction may not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640" w:top="1440" w:right="339" w:bottom="1440" w:gutter="0" w:footer="0" w:header="0"/>
        </w:sectPr>
      </w:pPr>
    </w:p>
    <w:bookmarkStart w:id="136" w:name="page137"/>
    <w:bookmarkEnd w:id="136"/>
    <w:p>
      <w:pPr>
        <w:spacing w:after="0" w:line="14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u w:val="single" w:color="auto"/>
          <w:color w:val="auto"/>
        </w:rPr>
        <w:t>Annual and Quarterly Earnings Blackout Periods</w:t>
      </w:r>
      <w:r>
        <w:rPr>
          <w:rFonts w:ascii="Arial" w:cs="Arial" w:eastAsia="Arial" w:hAnsi="Arial"/>
          <w:sz w:val="18"/>
          <w:szCs w:val="18"/>
          <w:color w:val="auto"/>
        </w:rPr>
        <w:t>. Any director, Section 16 officer or other person specifically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Counsel, may not engage in any transaction in Company Securities (other than excepted by this Policy) during an earnings blackout period beginning two weeks before the end of each calendar quarter and ending at the opening of the regular trading session of the NYSE on the third trading day following the date of the earnings release for that calendar quarter or year-end. Employees will be notified if they are subject to securities blackout periods.</w:t>
      </w:r>
    </w:p>
    <w:p>
      <w:pPr>
        <w:spacing w:after="0" w:line="11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Event-Specific Blackout Periods</w:t>
      </w:r>
      <w:r>
        <w:rPr>
          <w:rFonts w:ascii="Arial" w:cs="Arial" w:eastAsia="Arial" w:hAnsi="Arial"/>
          <w:sz w:val="18"/>
          <w:szCs w:val="18"/>
          <w:color w:val="auto"/>
        </w:rPr>
        <w:t>. From time to time, an event may occur that is material to the Company and is known by only some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and/or employees. If this occurs, the General Counsel will notify those persons who should refrain from any transaction in Company Securities (other than excepted by this Policy). The event-specific blackout period will remain in effect until lifted by the General Counsel. The existence of an event-specific blackout period will not be announced to the Company as a whole, and the Covered Person should not communicate the existence of the blackout period to any other person. The General Counsel may impose an event-specific blackout with respect to other company’s Securities.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have established the following additional restrictions applicable to directors and Section 16 officers and other persons specifically designated by the General Counsel.</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Margin Accounts and Pledged Securities</w:t>
      </w:r>
      <w:r>
        <w:rPr>
          <w:rFonts w:ascii="Arial" w:cs="Arial" w:eastAsia="Arial" w:hAnsi="Arial"/>
          <w:sz w:val="18"/>
          <w:szCs w:val="18"/>
          <w:color w:val="auto"/>
        </w:rPr>
        <w:t>. Securities held in a margin account as collateral for a margin loan may be sold by the broker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consent if the account holder were to fail to meet a margin call. Similarly, securities pledged as collateral for a loan may be sold in foreclosure if the borrower were to default on the loan. Because a margin or foreclosure sale may occur at a time when the account holder or borrower is aware of MNPI or otherwise not permitted to trade in Company Securities, all directors and Section 16 officers are prohibited from pledging Company Securities as collateral for a loan, including in a margin account.</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Managed or Discretionary Investment Accounts</w:t>
      </w:r>
      <w:r>
        <w:rPr>
          <w:rFonts w:ascii="Arial" w:cs="Arial" w:eastAsia="Arial" w:hAnsi="Arial"/>
          <w:sz w:val="18"/>
          <w:szCs w:val="18"/>
          <w:color w:val="auto"/>
        </w:rPr>
        <w:t>. Securities held in a managed or discretionary account may be purchased and sold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broker or other investment professional without the knowledge or consent of the account holder. Such securities could be purchased or sold at a time when the account holder is prohibited from engaging in transactions in Company Securities because of a blackout period or otherwise when the account holder is aware of MNPI. Because of the enhanced risk presented by these accounts, all directors and Section 16 officers are prohibited from holding Company Securities in any managed or discretionary account.</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u w:val="single" w:color="auto"/>
          <w:color w:val="auto"/>
        </w:rPr>
        <w:t>Share Repurchase Program</w:t>
      </w:r>
      <w:r>
        <w:rPr>
          <w:rFonts w:ascii="Arial" w:cs="Arial" w:eastAsia="Arial" w:hAnsi="Arial"/>
          <w:sz w:val="18"/>
          <w:szCs w:val="18"/>
          <w:color w:val="auto"/>
        </w:rPr>
        <w:t>. If the Covered Person is an officer in control of the Company share repurchase program,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repurchases its stock in the open market, such person may not engage in any purchase or sale of Company Securities until the opening of the regular trading session of the NYSE on the third trading day following the date of any Company repurchase. Unless determined otherwise by the General Counsel, the officers deemed to be in control of the Company share repurchase program include the Chief Executive Officer and the Chief Financial Officer. Also, the Company’s directors and executive officers must comply with Rule 10b-18 under the Securities Exchange Act of 1934, as amended, to the extent applicable, if purchasing Company common stock on the same day the Company is repurchasing its common stock.</w:t>
      </w:r>
    </w:p>
    <w:p>
      <w:pPr>
        <w:spacing w:after="0" w:line="205" w:lineRule="exact"/>
        <w:rPr>
          <w:sz w:val="20"/>
          <w:szCs w:val="20"/>
          <w:color w:val="auto"/>
        </w:rPr>
      </w:pPr>
    </w:p>
    <w:p>
      <w:pPr>
        <w:ind w:left="340" w:hanging="319"/>
        <w:spacing w:after="0"/>
        <w:tabs>
          <w:tab w:leader="none" w:pos="34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Rule 10b5-1 Plans and Other Trading Arrangements</w:t>
      </w:r>
    </w:p>
    <w:p>
      <w:pPr>
        <w:spacing w:after="0" w:line="150"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Rule 10b5-1 plans provide an affirmative defense from insider trading liability if, while not aware of MNPI, the Covered Person establishes a written plan to buy or sell Company Securities in compliance with the rule, and the Company’s guidelines for Rule 10b5-1 plans (which may be obtained from the General Counsel). Once the plan is in place, the Covered Person may not exercise any influence over the amount of securities to be traded, the price at which they are traded or the trade date. All Rule 10b5-1 plan modifications must be made outside of a blackout period at a time when the Covered Person does not possess MNPI. All Rule 10b5-1 plans or modifications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640" w:top="1440" w:right="339" w:bottom="1440" w:gutter="0" w:footer="0" w:header="0"/>
        </w:sectPr>
      </w:pPr>
    </w:p>
    <w:bookmarkStart w:id="137" w:name="page138"/>
    <w:bookmarkEnd w:id="137"/>
    <w:p>
      <w:pPr>
        <w:spacing w:after="0" w:line="1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terminations of existing Rule 10b5-1 plans must be pre-approved in writing by the General Counsel. Any Rule 10b5-1 plan adoption, modification or termination must be submitted for approval five days prior to the event. No further pre-approval of transactions conducted pursuant to a Rule 10b5-1 plan will be required. Any other trading arrangement regarding Company Securities that does not comply with Rule 10b5-1, and is entered into, modified or terminated by a Covered Person must be pre-approved in writing by the General Counsel.</w:t>
      </w:r>
    </w:p>
    <w:p>
      <w:pPr>
        <w:spacing w:after="0" w:line="112"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color w:val="auto"/>
        </w:rPr>
        <w:t>In order to be pre-approved, the Rule 10b5-1 plan must comply with Rule 10b5-1, as determined by the General Counsel, including among other requirements:</w:t>
      </w:r>
    </w:p>
    <w:p>
      <w:pPr>
        <w:spacing w:after="0" w:line="90" w:lineRule="exact"/>
        <w:rPr>
          <w:sz w:val="20"/>
          <w:szCs w:val="20"/>
          <w:color w:val="auto"/>
        </w:rPr>
      </w:pPr>
    </w:p>
    <w:p>
      <w:pPr>
        <w:jc w:val="both"/>
        <w:ind w:left="980" w:hanging="329"/>
        <w:spacing w:after="0" w:line="259" w:lineRule="auto"/>
        <w:tabs>
          <w:tab w:leader="none" w:pos="9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before the first trade can be made under the plan, Section 16 officers and directors must have a cooling-off period of the later of (i) 90 days following the plan’s adoption or modification, or (ii) two business days following the filing of the Company’s periodic report for the fiscal quarter in which the plan was adopted or modified (but not to exceed 120 days following the plan adoption or modification);</w:t>
      </w:r>
    </w:p>
    <w:p>
      <w:pPr>
        <w:spacing w:after="0" w:line="98" w:lineRule="exact"/>
        <w:rPr>
          <w:rFonts w:ascii="Arial" w:cs="Arial" w:eastAsia="Arial" w:hAnsi="Arial"/>
          <w:sz w:val="18"/>
          <w:szCs w:val="18"/>
          <w:color w:val="auto"/>
        </w:rPr>
      </w:pPr>
    </w:p>
    <w:p>
      <w:pPr>
        <w:ind w:left="980" w:hanging="329"/>
        <w:spacing w:after="0" w:line="282" w:lineRule="auto"/>
        <w:tabs>
          <w:tab w:leader="none" w:pos="9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before the first trade can be made under the plan, persons other than Section 16 officers and directors, must have a 30-day cooling-off period;</w:t>
      </w:r>
    </w:p>
    <w:p>
      <w:pPr>
        <w:spacing w:after="0" w:line="90" w:lineRule="exact"/>
        <w:rPr>
          <w:rFonts w:ascii="Arial" w:cs="Arial" w:eastAsia="Arial" w:hAnsi="Arial"/>
          <w:sz w:val="18"/>
          <w:szCs w:val="18"/>
          <w:color w:val="auto"/>
        </w:rPr>
      </w:pPr>
    </w:p>
    <w:p>
      <w:pPr>
        <w:ind w:left="980" w:hanging="329"/>
        <w:spacing w:after="0" w:line="282" w:lineRule="auto"/>
        <w:tabs>
          <w:tab w:leader="none" w:pos="9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Section 16 officers and directors must represent that (i) they are not aware of any MNPI about the Company or Company Securities and (ii) the plan is being adopted in good faith;</w:t>
      </w:r>
    </w:p>
    <w:p>
      <w:pPr>
        <w:spacing w:after="0" w:line="90" w:lineRule="exact"/>
        <w:rPr>
          <w:rFonts w:ascii="Arial" w:cs="Arial" w:eastAsia="Arial" w:hAnsi="Arial"/>
          <w:sz w:val="18"/>
          <w:szCs w:val="18"/>
          <w:color w:val="auto"/>
        </w:rPr>
      </w:pPr>
    </w:p>
    <w:p>
      <w:pPr>
        <w:ind w:left="980" w:right="20" w:hanging="329"/>
        <w:spacing w:after="0" w:line="282" w:lineRule="auto"/>
        <w:tabs>
          <w:tab w:leader="none" w:pos="9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certain exceptions, you may not have overlapping Rule 10b5-1 plans, and you may not have more than one single-trade Rule 10b5-1 plan in a 12-month period;</w:t>
      </w:r>
    </w:p>
    <w:p>
      <w:pPr>
        <w:spacing w:after="0" w:line="76" w:lineRule="exact"/>
        <w:rPr>
          <w:rFonts w:ascii="Arial" w:cs="Arial" w:eastAsia="Arial" w:hAnsi="Arial"/>
          <w:sz w:val="18"/>
          <w:szCs w:val="18"/>
          <w:color w:val="auto"/>
        </w:rPr>
      </w:pPr>
    </w:p>
    <w:p>
      <w:pPr>
        <w:jc w:val="both"/>
        <w:ind w:left="980" w:hanging="329"/>
        <w:spacing w:after="0" w:line="265" w:lineRule="auto"/>
        <w:tabs>
          <w:tab w:leader="none" w:pos="9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director and Section 16 officer understand that the approval or adoption of a Rule 10b5-1 plan in no way reduces or eliminates such person’s obligations under Section 16 of the Securities Exchange Act, including such person’s disclosure and short-swing trading liabilities thereunder;</w:t>
      </w:r>
    </w:p>
    <w:p>
      <w:pPr>
        <w:spacing w:after="0" w:line="105" w:lineRule="exact"/>
        <w:rPr>
          <w:rFonts w:ascii="Arial" w:cs="Arial" w:eastAsia="Arial" w:hAnsi="Arial"/>
          <w:sz w:val="18"/>
          <w:szCs w:val="18"/>
          <w:color w:val="auto"/>
        </w:rPr>
      </w:pPr>
    </w:p>
    <w:p>
      <w:pPr>
        <w:jc w:val="both"/>
        <w:ind w:left="980" w:hanging="329"/>
        <w:spacing w:after="0" w:line="259" w:lineRule="auto"/>
        <w:tabs>
          <w:tab w:leader="none" w:pos="9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director and Section 16 officer understands that the Company must disclose in its Form 10-Qs and Form 10-K the adoption, modification or termination of their Rule 10b5-1 plan (or non-Rule 10b5-1 trading arrangement), and the material terms of such plan (other than price), including the name of the director or Section 16 officer, date of adoption or termination, duration of such plan, the aggregate number of securities subject to such plan and a description of any modification; and</w:t>
      </w:r>
    </w:p>
    <w:p>
      <w:pPr>
        <w:spacing w:after="0" w:line="111" w:lineRule="exact"/>
        <w:rPr>
          <w:rFonts w:ascii="Arial" w:cs="Arial" w:eastAsia="Arial" w:hAnsi="Arial"/>
          <w:sz w:val="18"/>
          <w:szCs w:val="18"/>
          <w:color w:val="auto"/>
        </w:rPr>
      </w:pPr>
    </w:p>
    <w:p>
      <w:pPr>
        <w:ind w:left="960" w:hanging="309"/>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Rule 10b5-1 plan must not only be adopted in good faith, but you must act in good faith with respect to plan.</w:t>
      </w:r>
    </w:p>
    <w:p>
      <w:pPr>
        <w:spacing w:after="0" w:line="142"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color w:val="auto"/>
        </w:rPr>
        <w:t>The General Counsel may impose such other conditions on the implementation and operation of Rule 10b5-1 plans as the General Counsel deems necessary or advisable.</w:t>
      </w:r>
    </w:p>
    <w:p>
      <w:pPr>
        <w:spacing w:after="0" w:line="85" w:lineRule="exact"/>
        <w:rPr>
          <w:sz w:val="20"/>
          <w:szCs w:val="20"/>
          <w:color w:val="auto"/>
        </w:rPr>
      </w:pPr>
    </w:p>
    <w:p>
      <w:pPr>
        <w:ind w:left="660" w:hanging="319"/>
        <w:spacing w:after="0"/>
        <w:tabs>
          <w:tab w:leader="none" w:pos="66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Post-Termination Transactions</w:t>
      </w:r>
    </w:p>
    <w:p>
      <w:pPr>
        <w:spacing w:after="0" w:line="150" w:lineRule="exact"/>
        <w:rPr>
          <w:sz w:val="20"/>
          <w:szCs w:val="20"/>
          <w:color w:val="auto"/>
        </w:rPr>
      </w:pPr>
    </w:p>
    <w:p>
      <w:pPr>
        <w:jc w:val="both"/>
        <w:ind w:left="340"/>
        <w:spacing w:after="0" w:line="265" w:lineRule="auto"/>
        <w:rPr>
          <w:sz w:val="20"/>
          <w:szCs w:val="20"/>
          <w:color w:val="auto"/>
        </w:rPr>
      </w:pPr>
      <w:r>
        <w:rPr>
          <w:rFonts w:ascii="Arial" w:cs="Arial" w:eastAsia="Arial" w:hAnsi="Arial"/>
          <w:sz w:val="18"/>
          <w:szCs w:val="18"/>
          <w:color w:val="auto"/>
        </w:rPr>
        <w:t>This Policy continues to apply to any transaction in Company Securities after termination of service of the Covered Person with the Company. If the Covered Person is aware of MNPI when such person’s service terminates, such person may not engage in such a transaction until that information has become public or, in the General Counsel’s written opinion, is no longer material.</w:t>
      </w:r>
    </w:p>
    <w:p>
      <w:pPr>
        <w:spacing w:after="0" w:line="101" w:lineRule="exact"/>
        <w:rPr>
          <w:sz w:val="20"/>
          <w:szCs w:val="20"/>
          <w:color w:val="auto"/>
        </w:rPr>
      </w:pPr>
    </w:p>
    <w:p>
      <w:pPr>
        <w:ind w:left="420" w:hanging="413"/>
        <w:spacing w:after="0"/>
        <w:tabs>
          <w:tab w:leader="none" w:pos="42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The Company</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20"/>
          <w:szCs w:val="20"/>
          <w:b w:val="1"/>
          <w:bCs w:val="1"/>
          <w:u w:val="single" w:color="auto"/>
          <w:color w:val="auto"/>
        </w:rPr>
        <w:t>Policy Statement</w:t>
      </w:r>
    </w:p>
    <w:p>
      <w:pPr>
        <w:spacing w:after="0" w:line="150" w:lineRule="exact"/>
        <w:rPr>
          <w:sz w:val="20"/>
          <w:szCs w:val="20"/>
          <w:color w:val="auto"/>
        </w:rPr>
      </w:pPr>
    </w:p>
    <w:p>
      <w:pPr>
        <w:ind w:left="320" w:right="80"/>
        <w:spacing w:after="0" w:line="282" w:lineRule="auto"/>
        <w:rPr>
          <w:sz w:val="20"/>
          <w:szCs w:val="20"/>
          <w:color w:val="auto"/>
        </w:rPr>
      </w:pPr>
      <w:r>
        <w:rPr>
          <w:rFonts w:ascii="Arial" w:cs="Arial" w:eastAsia="Arial" w:hAnsi="Arial"/>
          <w:sz w:val="18"/>
          <w:szCs w:val="18"/>
          <w:color w:val="auto"/>
        </w:rPr>
        <w:t>If the Company is aware of MNPI about the Company, the Company may not (unless approved by the General Counsel, or in accordance with the exceptions to this Policy, or pursuant to an approved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2" w:lineRule="exact"/>
        <w:rPr>
          <w:sz w:val="20"/>
          <w:szCs w:val="20"/>
          <w:color w:val="auto"/>
        </w:rPr>
      </w:pPr>
    </w:p>
    <w:p>
      <w:pPr>
        <w:ind w:left="600" w:hanging="269"/>
        <w:spacing w:after="0"/>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grant, issue, sell or repurchase Company Securities tied to the current market price of such Securities;</w:t>
      </w:r>
    </w:p>
    <w:p>
      <w:pPr>
        <w:spacing w:after="0" w:line="154" w:lineRule="exact"/>
        <w:rPr>
          <w:rFonts w:ascii="Arial" w:cs="Arial" w:eastAsia="Arial" w:hAnsi="Arial"/>
          <w:sz w:val="18"/>
          <w:szCs w:val="18"/>
          <w:color w:val="auto"/>
        </w:rPr>
      </w:pPr>
    </w:p>
    <w:p>
      <w:pPr>
        <w:jc w:val="both"/>
        <w:ind w:left="660" w:hanging="329"/>
        <w:spacing w:after="0" w:line="265" w:lineRule="auto"/>
        <w:tabs>
          <w:tab w:leader="none" w:pos="6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grant any option or option-like securities to any named executive officer within four business days prior to, and one business day after, the filing of any periodic report on Form 10-K or Form 10-Q, or a current report on Form 8-K (other than a Form 8-K reporting the option grant) that contains MNPI;</w:t>
      </w:r>
    </w:p>
    <w:p>
      <w:pPr>
        <w:spacing w:after="0" w:line="105" w:lineRule="exact"/>
        <w:rPr>
          <w:rFonts w:ascii="Arial" w:cs="Arial" w:eastAsia="Arial" w:hAnsi="Arial"/>
          <w:sz w:val="18"/>
          <w:szCs w:val="18"/>
          <w:color w:val="auto"/>
        </w:rPr>
      </w:pPr>
    </w:p>
    <w:p>
      <w:pPr>
        <w:ind w:left="660" w:hanging="329"/>
        <w:spacing w:after="0" w:line="282" w:lineRule="auto"/>
        <w:tabs>
          <w:tab w:leader="none" w:pos="8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repurchase Company Securities in a market transaction without compliance with Rule10b-18 under the Exchange Act of 1934, as amended, as applicable.</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Policy shall not apply to the Company with respect to any grant, issuance, sale, repurchase, distribution, withholding or other transaction conducted in accordance with the previously adopted terms and conditions of any benefit plan, any previously entered contractual obligation, or any other transaction beyond the volitional control of the Company.</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Unless pre-approved by the General Counsel, when Covered Persons are restricted from engaging in Securities transactions during annual and quarterly earnings blackout periods or event specific blackout periods, the Company will also be restricted from engaging in transactions in Company Securities not otherwise approved by the General Counsel, or excepted from the provisions of this Policy.</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Last Revised: 12/01/2025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640" w:top="1440" w:right="3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46"/>
        </w:trPr>
        <w:tc>
          <w:tcPr>
            <w:tcW w:w="37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ind w:left="1600"/>
              <w:spacing w:after="0"/>
              <w:rPr>
                <w:sz w:val="20"/>
                <w:szCs w:val="20"/>
                <w:color w:val="auto"/>
              </w:rPr>
            </w:pPr>
            <w:r>
              <w:rPr>
                <w:rFonts w:ascii="Arial" w:cs="Arial" w:eastAsia="Arial" w:hAnsi="Arial"/>
                <w:sz w:val="18"/>
                <w:szCs w:val="18"/>
                <w:b w:val="1"/>
                <w:bCs w:val="1"/>
                <w:color w:val="auto"/>
                <w:w w:val="96"/>
              </w:rPr>
              <w:t>Exhibit 21</w:t>
            </w:r>
          </w:p>
        </w:tc>
      </w:tr>
      <w:tr>
        <w:trPr>
          <w:trHeight w:val="375"/>
        </w:trPr>
        <w:tc>
          <w:tcPr>
            <w:tcW w:w="3740" w:type="dxa"/>
            <w:vAlign w:val="bottom"/>
          </w:tcPr>
          <w:p>
            <w:pPr>
              <w:spacing w:after="0"/>
              <w:rPr>
                <w:sz w:val="24"/>
                <w:szCs w:val="24"/>
                <w:color w:val="auto"/>
              </w:rPr>
            </w:pPr>
          </w:p>
        </w:tc>
        <w:tc>
          <w:tcPr>
            <w:tcW w:w="5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Schedule of Subsidiaries of the Company</w:t>
            </w:r>
          </w:p>
        </w:tc>
        <w:tc>
          <w:tcPr>
            <w:tcW w:w="2440" w:type="dxa"/>
            <w:vAlign w:val="bottom"/>
          </w:tcPr>
          <w:p>
            <w:pPr>
              <w:spacing w:after="0"/>
              <w:rPr>
                <w:sz w:val="24"/>
                <w:szCs w:val="24"/>
                <w:color w:val="auto"/>
              </w:rPr>
            </w:pPr>
          </w:p>
        </w:tc>
      </w:tr>
      <w:tr>
        <w:trPr>
          <w:trHeight w:val="400"/>
        </w:trPr>
        <w:tc>
          <w:tcPr>
            <w:tcW w:w="37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Name</w:t>
            </w:r>
          </w:p>
        </w:tc>
        <w:tc>
          <w:tcPr>
            <w:tcW w:w="32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Doing Business As</w:t>
            </w:r>
          </w:p>
        </w:tc>
        <w:tc>
          <w:tcPr>
            <w:tcW w:w="17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1"/>
        </w:trPr>
        <w:tc>
          <w:tcPr>
            <w:tcW w:w="37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43"/>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Changshu L&amp;V Automobile Motion Co.</w:t>
            </w:r>
          </w:p>
        </w:tc>
        <w:tc>
          <w:tcPr>
            <w:tcW w:w="328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Ltd.</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Chieng Yeng Ent. Co., Ltd.</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British Virgin Islands</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Church Corporate Park Owner’s</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Association, LLC</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Crest-Foam Corp.</w:t>
            </w:r>
          </w:p>
        </w:tc>
        <w:tc>
          <w:tcPr>
            <w:tcW w:w="3280" w:type="dxa"/>
            <w:vAlign w:val="bottom"/>
          </w:tcPr>
          <w:p>
            <w:pPr>
              <w:ind w:left="120"/>
              <w:spacing w:after="0"/>
              <w:rPr>
                <w:sz w:val="20"/>
                <w:szCs w:val="20"/>
                <w:color w:val="auto"/>
              </w:rPr>
            </w:pPr>
            <w:r>
              <w:rPr>
                <w:rFonts w:ascii="Arial" w:cs="Arial" w:eastAsia="Arial" w:hAnsi="Arial"/>
                <w:sz w:val="18"/>
                <w:szCs w:val="18"/>
                <w:color w:val="auto"/>
              </w:rPr>
              <w:t>Industrial Components Group</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New Jersey</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Carpet Cushion</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L&amp;P Flooring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Carpet Cushion</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740" w:type="dxa"/>
            <w:vAlign w:val="bottom"/>
          </w:tcPr>
          <w:p>
            <w:pPr>
              <w:spacing w:after="0"/>
              <w:rPr>
                <w:sz w:val="20"/>
                <w:szCs w:val="20"/>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Leggett &amp; Platt Carpet Cushion</w:t>
            </w: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740" w:type="dxa"/>
            <w:vAlign w:val="bottom"/>
          </w:tcPr>
          <w:p>
            <w:pPr>
              <w:spacing w:after="0"/>
              <w:rPr>
                <w:sz w:val="20"/>
                <w:szCs w:val="20"/>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Division</w:t>
            </w:r>
          </w:p>
        </w:tc>
        <w:tc>
          <w:tcPr>
            <w:tcW w:w="17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Flooring Products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S.C.S.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3740" w:type="dxa"/>
            <w:vAlign w:val="bottom"/>
            <w:shd w:val="clear" w:color="auto" w:fill="CCEEFF"/>
          </w:tcPr>
          <w:p>
            <w:pPr>
              <w:spacing w:after="0"/>
              <w:rPr>
                <w:sz w:val="20"/>
                <w:szCs w:val="20"/>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Sleep Comfort Systems by Leggett &amp;</w:t>
            </w:r>
          </w:p>
        </w:tc>
        <w:tc>
          <w:tcPr>
            <w:tcW w:w="17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40"/>
        </w:trPr>
        <w:tc>
          <w:tcPr>
            <w:tcW w:w="37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Platt</w:t>
            </w: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Dayspring Limited</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Isle of Man</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Dresher, Inc.</w:t>
            </w: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Harris-Hub Company, Inc.</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Eagan Products, LLC</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Ecowave Fibre Limited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Ireland</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Elite Comfort Solutions LLC</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Elite Comfort Solutions, Inc.</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w w:val="98"/>
              </w:rPr>
              <w:t>Foshan City Nanhai Chieng Yeng Plastic &amp;</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Hardware Product Co., Ltd.</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Guangdong Zhaoqing L&amp;V Co., Ltd.</w:t>
            </w:r>
          </w:p>
        </w:tc>
        <w:tc>
          <w:tcPr>
            <w:tcW w:w="3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Hanes Companies - New Jersey, LLC</w:t>
            </w:r>
          </w:p>
        </w:tc>
        <w:tc>
          <w:tcPr>
            <w:tcW w:w="3280" w:type="dxa"/>
            <w:vAlign w:val="bottom"/>
          </w:tcPr>
          <w:p>
            <w:pPr>
              <w:ind w:left="120"/>
              <w:spacing w:after="0"/>
              <w:rPr>
                <w:sz w:val="20"/>
                <w:szCs w:val="20"/>
                <w:color w:val="auto"/>
              </w:rPr>
            </w:pPr>
            <w:r>
              <w:rPr>
                <w:rFonts w:ascii="Arial" w:cs="Arial" w:eastAsia="Arial" w:hAnsi="Arial"/>
                <w:sz w:val="18"/>
                <w:szCs w:val="18"/>
                <w:color w:val="auto"/>
              </w:rPr>
              <w:t>Hanes</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Hanes Companies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Hanes Companies - New Jersey</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Hanes Converting Company</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Hanes Dye &amp; Finishing Division</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Hanes Engineered Materials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Hanes Fabrics Company</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Hanes Geo Components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Hanes Industries Division</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Hanes Trading Company</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Hanes Companies Foundation</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North Carolina</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Hanes Companies, Inc.</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Civ-Con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North Carolina</w:t>
            </w: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Civ-Con Products &amp; Solutions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DDD Erosion Control</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ERO-TEX</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19" w:right="339" w:bottom="1440" w:gutter="0" w:footer="0" w:header="0"/>
          <w:type w:val="continuous"/>
        </w:sectPr>
      </w:pPr>
    </w:p>
    <w:bookmarkStart w:id="140" w:name="page141"/>
    <w:bookmarkEnd w:id="140"/>
    <w:p>
      <w:pPr>
        <w:ind w:left="120"/>
        <w:spacing w:after="0"/>
        <w:rPr>
          <w:sz w:val="20"/>
          <w:szCs w:val="20"/>
          <w:color w:val="auto"/>
        </w:rPr>
      </w:pPr>
      <w:r>
        <w:rPr>
          <w:rFonts w:ascii="Arial" w:cs="Arial" w:eastAsia="Arial" w:hAnsi="Arial"/>
          <w:sz w:val="18"/>
          <w:szCs w:val="18"/>
          <w:b w:val="1"/>
          <w:bCs w:val="1"/>
          <w:i w:val="1"/>
          <w:i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Doing Business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184785</wp:posOffset>
            </wp:positionV>
            <wp:extent cx="7133590" cy="1873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 of Ownership</w:t>
      </w:r>
    </w:p>
    <w:p>
      <w:pPr>
        <w:spacing w:after="0" w:line="20" w:lineRule="exact"/>
        <w:rPr>
          <w:sz w:val="20"/>
          <w:szCs w:val="20"/>
          <w:color w:val="auto"/>
        </w:rPr>
      </w:pPr>
      <w:r>
        <w:rPr>
          <w:sz w:val="20"/>
          <w:szCs w:val="20"/>
          <w:color w:val="auto"/>
        </w:rPr>
        <w:br w:type="column"/>
      </w:r>
    </w:p>
    <w:p>
      <w:pPr>
        <w:jc w:val="center"/>
        <w:ind w:right="140"/>
        <w:spacing w:after="0" w:line="294" w:lineRule="auto"/>
        <w:rPr>
          <w:sz w:val="20"/>
          <w:szCs w:val="20"/>
          <w:color w:val="auto"/>
        </w:rPr>
      </w:pPr>
      <w:r>
        <w:rPr>
          <w:rFonts w:ascii="Arial" w:cs="Arial" w:eastAsia="Arial" w:hAnsi="Arial"/>
          <w:sz w:val="18"/>
          <w:szCs w:val="18"/>
          <w:b w:val="1"/>
          <w:bCs w:val="1"/>
          <w:i w:val="1"/>
          <w:iCs w:val="1"/>
          <w:color w:val="auto"/>
        </w:rPr>
        <w:t>Place of Incorporation or Organization</w:t>
      </w:r>
    </w:p>
    <w:p>
      <w:pPr>
        <w:spacing w:after="0" w:line="1" w:lineRule="exact"/>
        <w:rPr>
          <w:sz w:val="20"/>
          <w:szCs w:val="20"/>
          <w:color w:val="auto"/>
        </w:rPr>
      </w:pPr>
    </w:p>
    <w:p>
      <w:pPr>
        <w:sectPr>
          <w:pgSz w:w="11900" w:h="16838" w:orient="portrait"/>
          <w:cols w:equalWidth="0" w:num="4">
            <w:col w:w="3140" w:space="720"/>
            <w:col w:w="2680" w:space="720"/>
            <w:col w:w="1340" w:space="380"/>
            <w:col w:w="2260"/>
          </w:cols>
          <w:pgMar w:left="320" w:top="1074" w:right="339" w:bottom="1440" w:gutter="0" w:footer="0" w:header="0"/>
        </w:sectPr>
      </w:pPr>
    </w:p>
    <w:p>
      <w:pPr>
        <w:ind w:left="3860"/>
        <w:spacing w:after="0"/>
        <w:rPr>
          <w:sz w:val="20"/>
          <w:szCs w:val="20"/>
          <w:color w:val="auto"/>
        </w:rPr>
      </w:pPr>
      <w:r>
        <w:rPr>
          <w:rFonts w:ascii="Arial" w:cs="Arial" w:eastAsia="Arial" w:hAnsi="Arial"/>
          <w:sz w:val="18"/>
          <w:szCs w:val="18"/>
          <w:color w:val="auto"/>
        </w:rPr>
        <w:t>Geo-Civ Products</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Geotex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3149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33590" cy="31496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Greenscapes Home and Garden</w:t>
      </w:r>
    </w:p>
    <w:p>
      <w:pPr>
        <w:spacing w:after="0" w:line="2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Products</w:t>
      </w:r>
    </w:p>
    <w:p>
      <w:pPr>
        <w:spacing w:after="0" w:line="5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Converting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Dye &amp; Finishing Division</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Engineered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Fabrics Company</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Geo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Industries – Mississippi</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Industries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Industries Division, Inc.</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Industries Engineered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Trading Company</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Hill Country Culvert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Hill Country Culverts</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Hill Country Site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Ikex</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Interwoven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Interwoven Group</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Jarex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JMD Geo Components</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Lone Star Geo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North American Textile</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North American Textiles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North American Textile Component</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North American Textile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VWR Textiles &amp; Supplies</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Webtec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West End Textiles Company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Pr>
          <w:p>
            <w:pPr>
              <w:ind w:left="120"/>
              <w:spacing w:after="0"/>
              <w:rPr>
                <w:sz w:val="20"/>
                <w:szCs w:val="20"/>
                <w:color w:val="auto"/>
              </w:rPr>
            </w:pPr>
            <w:r>
              <w:rPr>
                <w:rFonts w:ascii="Arial" w:cs="Arial" w:eastAsia="Arial" w:hAnsi="Arial"/>
                <w:sz w:val="18"/>
                <w:szCs w:val="18"/>
                <w:b w:val="1"/>
                <w:bCs w:val="1"/>
                <w:color w:val="auto"/>
              </w:rPr>
              <w:t>Hongkong Veilon Limited</w:t>
            </w:r>
          </w:p>
        </w:tc>
        <w:tc>
          <w:tcPr>
            <w:tcW w:w="3360" w:type="dxa"/>
            <w:vAlign w:val="bottom"/>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Pr>
          <w:p>
            <w:pPr>
              <w:jc w:val="center"/>
              <w:spacing w:after="0"/>
              <w:rPr>
                <w:sz w:val="20"/>
                <w:szCs w:val="20"/>
                <w:color w:val="auto"/>
              </w:rPr>
            </w:pPr>
            <w:r>
              <w:rPr>
                <w:rFonts w:ascii="Arial" w:cs="Arial" w:eastAsia="Arial" w:hAnsi="Arial"/>
                <w:sz w:val="18"/>
                <w:szCs w:val="18"/>
                <w:color w:val="auto"/>
                <w:w w:val="97"/>
              </w:rPr>
              <w:t>Hong Kong</w:t>
            </w:r>
          </w:p>
        </w:tc>
      </w:tr>
      <w:tr>
        <w:trPr>
          <w:trHeight w:val="28"/>
        </w:trPr>
        <w:tc>
          <w:tcPr>
            <w:tcW w:w="54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62"/>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Jiaxing Ellermann Asia Trading Ltd.</w:t>
            </w:r>
          </w:p>
        </w:tc>
        <w:tc>
          <w:tcPr>
            <w:tcW w:w="33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5420" w:type="dxa"/>
            <w:vAlign w:val="bottom"/>
          </w:tcPr>
          <w:p>
            <w:pPr>
              <w:ind w:left="120"/>
              <w:spacing w:after="0"/>
              <w:rPr>
                <w:sz w:val="20"/>
                <w:szCs w:val="20"/>
                <w:color w:val="auto"/>
              </w:rPr>
            </w:pPr>
            <w:r>
              <w:rPr>
                <w:rFonts w:ascii="Arial" w:cs="Arial" w:eastAsia="Arial" w:hAnsi="Arial"/>
                <w:sz w:val="18"/>
                <w:szCs w:val="18"/>
                <w:b w:val="1"/>
                <w:bCs w:val="1"/>
                <w:color w:val="auto"/>
              </w:rPr>
              <w:t>JP&amp;S Holdings Limited</w:t>
            </w:r>
          </w:p>
        </w:tc>
        <w:tc>
          <w:tcPr>
            <w:tcW w:w="3360" w:type="dxa"/>
            <w:vAlign w:val="bottom"/>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
        </w:trPr>
        <w:tc>
          <w:tcPr>
            <w:tcW w:w="54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62"/>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JP&amp;S Unlimited</w:t>
            </w:r>
          </w:p>
        </w:tc>
        <w:tc>
          <w:tcPr>
            <w:tcW w:w="33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5420" w:type="dxa"/>
            <w:vAlign w:val="bottom"/>
          </w:tcPr>
          <w:p>
            <w:pPr>
              <w:ind w:left="120"/>
              <w:spacing w:after="0"/>
              <w:rPr>
                <w:sz w:val="20"/>
                <w:szCs w:val="20"/>
                <w:color w:val="auto"/>
              </w:rPr>
            </w:pPr>
            <w:r>
              <w:rPr>
                <w:rFonts w:ascii="Arial" w:cs="Arial" w:eastAsia="Arial" w:hAnsi="Arial"/>
                <w:sz w:val="18"/>
                <w:szCs w:val="18"/>
                <w:b w:val="1"/>
                <w:bCs w:val="1"/>
                <w:color w:val="auto"/>
              </w:rPr>
              <w:t>Kayfoam Woolfson (Belfast) Limited</w:t>
            </w:r>
          </w:p>
        </w:tc>
        <w:tc>
          <w:tcPr>
            <w:tcW w:w="3360" w:type="dxa"/>
            <w:vAlign w:val="bottom"/>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
        </w:trPr>
        <w:tc>
          <w:tcPr>
            <w:tcW w:w="54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62"/>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Kayfoam Woolfson Unlimited Company   </w:t>
            </w:r>
            <w:r>
              <w:rPr>
                <w:rFonts w:ascii="Arial" w:cs="Arial" w:eastAsia="Arial" w:hAnsi="Arial"/>
                <w:sz w:val="18"/>
                <w:szCs w:val="18"/>
                <w:color w:val="auto"/>
              </w:rPr>
              <w:t>Kayfoam Woolfson</w:t>
            </w:r>
          </w:p>
        </w:tc>
        <w:tc>
          <w:tcPr>
            <w:tcW w:w="33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Ireland</w:t>
            </w:r>
          </w:p>
        </w:tc>
      </w:tr>
      <w:tr>
        <w:trPr>
          <w:trHeight w:val="254"/>
        </w:trPr>
        <w:tc>
          <w:tcPr>
            <w:tcW w:w="5420" w:type="dxa"/>
            <w:vAlign w:val="bottom"/>
          </w:tcPr>
          <w:p>
            <w:pPr>
              <w:ind w:left="120"/>
              <w:spacing w:after="0"/>
              <w:rPr>
                <w:sz w:val="20"/>
                <w:szCs w:val="20"/>
                <w:color w:val="auto"/>
              </w:rPr>
            </w:pPr>
            <w:r>
              <w:rPr>
                <w:rFonts w:ascii="Arial" w:cs="Arial" w:eastAsia="Arial" w:hAnsi="Arial"/>
                <w:sz w:val="18"/>
                <w:szCs w:val="18"/>
                <w:b w:val="1"/>
                <w:bCs w:val="1"/>
                <w:color w:val="auto"/>
              </w:rPr>
              <w:t>Kintec-Solution GmbH</w:t>
            </w:r>
          </w:p>
        </w:tc>
        <w:tc>
          <w:tcPr>
            <w:tcW w:w="3360" w:type="dxa"/>
            <w:vAlign w:val="bottom"/>
          </w:tcPr>
          <w:p>
            <w:pPr>
              <w:jc w:val="right"/>
              <w:ind w:right="531"/>
              <w:spacing w:after="0"/>
              <w:rPr>
                <w:sz w:val="20"/>
                <w:szCs w:val="20"/>
                <w:color w:val="auto"/>
              </w:rPr>
            </w:pPr>
            <w:r>
              <w:rPr>
                <w:rFonts w:ascii="Arial" w:cs="Arial" w:eastAsia="Arial" w:hAnsi="Arial"/>
                <w:sz w:val="18"/>
                <w:szCs w:val="18"/>
                <w:color w:val="auto"/>
              </w:rPr>
              <w:t>100%</w:t>
            </w:r>
          </w:p>
        </w:tc>
        <w:tc>
          <w:tcPr>
            <w:tcW w:w="246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633"/>
        </w:trPr>
        <w:tc>
          <w:tcPr>
            <w:tcW w:w="5420" w:type="dxa"/>
            <w:vAlign w:val="bottom"/>
          </w:tcPr>
          <w:p>
            <w:pPr>
              <w:spacing w:after="0"/>
              <w:rPr>
                <w:sz w:val="24"/>
                <w:szCs w:val="24"/>
                <w:color w:val="auto"/>
              </w:rPr>
            </w:pPr>
          </w:p>
        </w:tc>
        <w:tc>
          <w:tcPr>
            <w:tcW w:w="3360" w:type="dxa"/>
            <w:vAlign w:val="bottom"/>
          </w:tcPr>
          <w:p>
            <w:pPr>
              <w:jc w:val="right"/>
              <w:ind w:right="3011"/>
              <w:spacing w:after="0"/>
              <w:rPr>
                <w:sz w:val="20"/>
                <w:szCs w:val="20"/>
                <w:color w:val="auto"/>
              </w:rPr>
            </w:pPr>
            <w:r>
              <w:rPr>
                <w:rFonts w:ascii="Arial" w:cs="Arial" w:eastAsia="Arial" w:hAnsi="Arial"/>
                <w:sz w:val="18"/>
                <w:szCs w:val="18"/>
                <w:color w:val="auto"/>
              </w:rPr>
              <w:t>2</w:t>
            </w:r>
          </w:p>
        </w:tc>
        <w:tc>
          <w:tcPr>
            <w:tcW w:w="2460" w:type="dxa"/>
            <w:vAlign w:val="bottom"/>
          </w:tcPr>
          <w:p>
            <w:pPr>
              <w:spacing w:after="0"/>
              <w:rPr>
                <w:sz w:val="24"/>
                <w:szCs w:val="24"/>
                <w:color w:val="auto"/>
              </w:rPr>
            </w:pPr>
          </w:p>
        </w:tc>
      </w:tr>
    </w:tbl>
    <w:p>
      <w:pPr>
        <w:sectPr>
          <w:pgSz w:w="11900" w:h="16838" w:orient="portrait"/>
          <w:cols w:equalWidth="0" w:num="1">
            <w:col w:w="11240"/>
          </w:cols>
          <w:pgMar w:left="320" w:top="1074" w:right="339" w:bottom="1440" w:gutter="0" w:footer="0" w:header="0"/>
          <w:type w:val="continuous"/>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Name</w:t>
            </w:r>
          </w:p>
        </w:tc>
        <w:tc>
          <w:tcPr>
            <w:tcW w:w="32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Doing Business As</w:t>
            </w:r>
          </w:p>
        </w:tc>
        <w:tc>
          <w:tcPr>
            <w:tcW w:w="1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7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 and C Windsor Cables Ltd.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Canada</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 and P Mexico, S. de R.L. de C.V.</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 and P Springs South Africa (Pty) Ltd.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S. Africa</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L&amp;C Changsha Cable Industries Ltd.</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Automotive (Korea) LLC</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South Korea</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Automotive Europe GmbH</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L&amp;P Automotive Europe Headquarters</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Germany</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GmbH</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Automotive France SAS</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Automotive Japan Ltd.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Japan</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Automotive Luxembourg, S.à r.l.</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Luxembourg</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Cyprus (CAD) Limited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Cyprus (EUR) Limited</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Cyprus (GBP) Limited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Cyprus (USD) Limited</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8"/>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Electric, Inc.</w:t>
            </w:r>
          </w:p>
        </w:tc>
        <w:tc>
          <w:tcPr>
            <w:tcW w:w="3280" w:type="dxa"/>
            <w:vAlign w:val="bottom"/>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7"/>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Financial Services Co.</w:t>
            </w:r>
          </w:p>
        </w:tc>
        <w:tc>
          <w:tcPr>
            <w:tcW w:w="3280" w:type="dxa"/>
            <w:vAlign w:val="bottom"/>
          </w:tcPr>
          <w:p>
            <w:pPr>
              <w:ind w:left="120"/>
              <w:spacing w:after="0"/>
              <w:rPr>
                <w:sz w:val="20"/>
                <w:szCs w:val="20"/>
                <w:color w:val="auto"/>
              </w:rPr>
            </w:pPr>
            <w:r>
              <w:rPr>
                <w:rFonts w:ascii="Arial" w:cs="Arial" w:eastAsia="Arial" w:hAnsi="Arial"/>
                <w:sz w:val="18"/>
                <w:szCs w:val="18"/>
                <w:color w:val="auto"/>
              </w:rPr>
              <w:t>Hi Life Products</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Carpet Cushion</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L&amp;P Flooring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Leggett &amp; Platt Carpet Cushion</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Leggett &amp; Platt Flooring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German Holdings GmbH</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Germany</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Holdings, Inc.</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Hungary Ltd.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Hungary</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International Holdings Company</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Materials Manufacturing, Inc.</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Adcom Wire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Adcom Wire Company</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Products Group</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L&amp;P Flooring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3740" w:type="dxa"/>
            <w:vAlign w:val="bottom"/>
            <w:shd w:val="clear" w:color="auto" w:fill="CCEEFF"/>
          </w:tcPr>
          <w:p>
            <w:pPr>
              <w:spacing w:after="0"/>
              <w:rPr>
                <w:sz w:val="20"/>
                <w:szCs w:val="20"/>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Leggett &amp; Platt Consumer Products</w:t>
            </w:r>
          </w:p>
        </w:tc>
        <w:tc>
          <w:tcPr>
            <w:tcW w:w="17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40"/>
        </w:trPr>
        <w:tc>
          <w:tcPr>
            <w:tcW w:w="37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Group</w:t>
            </w:r>
          </w:p>
        </w:tc>
        <w:tc>
          <w:tcPr>
            <w:tcW w:w="17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Leggett &amp; Platt Flooring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Mary Ann Industries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L&amp;P Property Foremost Industrial Park</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Michigan</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LLC</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Property Management Company</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Products Group</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IDEA Center</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Flooring Products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L&amp;P Home Furniture</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PMC, Inc.</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606"/>
        </w:trPr>
        <w:tc>
          <w:tcPr>
            <w:tcW w:w="3740" w:type="dxa"/>
            <w:vAlign w:val="bottom"/>
          </w:tcPr>
          <w:p>
            <w:pPr>
              <w:spacing w:after="0"/>
              <w:rPr>
                <w:sz w:val="24"/>
                <w:szCs w:val="24"/>
                <w:color w:val="auto"/>
              </w:rPr>
            </w:pPr>
          </w:p>
        </w:tc>
        <w:tc>
          <w:tcPr>
            <w:tcW w:w="3280" w:type="dxa"/>
            <w:vAlign w:val="bottom"/>
          </w:tcPr>
          <w:p>
            <w:pPr>
              <w:ind w:left="1840"/>
              <w:spacing w:after="0"/>
              <w:rPr>
                <w:sz w:val="20"/>
                <w:szCs w:val="20"/>
                <w:color w:val="auto"/>
              </w:rPr>
            </w:pPr>
            <w:r>
              <w:rPr>
                <w:rFonts w:ascii="Arial" w:cs="Arial" w:eastAsia="Arial" w:hAnsi="Arial"/>
                <w:sz w:val="18"/>
                <w:szCs w:val="18"/>
                <w:color w:val="auto"/>
              </w:rPr>
              <w:t>3</w:t>
            </w:r>
          </w:p>
        </w:tc>
        <w:tc>
          <w:tcPr>
            <w:tcW w:w="17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1074"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Name</w:t>
            </w:r>
          </w:p>
        </w:tc>
        <w:tc>
          <w:tcPr>
            <w:tcW w:w="32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Doing Business As</w:t>
            </w:r>
          </w:p>
        </w:tc>
        <w:tc>
          <w:tcPr>
            <w:tcW w:w="1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8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80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Leggett &amp; Platt Flooring Products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800" w:type="dxa"/>
            <w:vAlign w:val="bottom"/>
          </w:tcPr>
          <w:p>
            <w:pPr>
              <w:spacing w:after="0"/>
              <w:rPr>
                <w:sz w:val="21"/>
                <w:szCs w:val="21"/>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auto"/>
              </w:rPr>
              <w:t>Leggett &amp; Platt Home Furniture</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8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80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Leggett &amp; Platt West Coast Furniture</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800" w:type="dxa"/>
            <w:vAlign w:val="bottom"/>
          </w:tcPr>
          <w:p>
            <w:pPr>
              <w:spacing w:after="0"/>
              <w:rPr>
                <w:sz w:val="21"/>
                <w:szCs w:val="21"/>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auto"/>
              </w:rPr>
              <w:t>Walk-On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8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Real Estate Services, LLC</w:t>
            </w:r>
          </w:p>
        </w:tc>
        <w:tc>
          <w:tcPr>
            <w:tcW w:w="3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Missouri</w:t>
            </w: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L&amp;P Springs Denmark ApS</w:t>
            </w:r>
          </w:p>
        </w:tc>
        <w:tc>
          <w:tcPr>
            <w:tcW w:w="32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L&amp;P Swiss Holding GmbH</w:t>
            </w:r>
          </w:p>
        </w:tc>
        <w:tc>
          <w:tcPr>
            <w:tcW w:w="3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Switzerland</w:t>
            </w: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L&amp;P Transportation LLC</w:t>
            </w:r>
          </w:p>
        </w:tc>
        <w:tc>
          <w:tcPr>
            <w:tcW w:w="3220" w:type="dxa"/>
            <w:vAlign w:val="bottom"/>
          </w:tcPr>
          <w:p>
            <w:pPr>
              <w:ind w:left="60"/>
              <w:spacing w:after="0"/>
              <w:rPr>
                <w:sz w:val="20"/>
                <w:szCs w:val="20"/>
                <w:color w:val="auto"/>
              </w:rPr>
            </w:pPr>
            <w:r>
              <w:rPr>
                <w:rFonts w:ascii="Arial" w:cs="Arial" w:eastAsia="Arial" w:hAnsi="Arial"/>
                <w:sz w:val="18"/>
                <w:szCs w:val="18"/>
                <w:color w:val="auto"/>
              </w:rPr>
              <w:t>L&amp;P Global Supply Chain</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80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Leggett &amp; Platt Global Supply Chain</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L&amp;P UK Holdings, LLC</w:t>
            </w:r>
          </w:p>
        </w:tc>
        <w:tc>
          <w:tcPr>
            <w:tcW w:w="32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L&amp;P/Chieng Yeng Management Co.</w:t>
            </w:r>
          </w:p>
        </w:tc>
        <w:tc>
          <w:tcPr>
            <w:tcW w:w="322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Hong Kong</w:t>
            </w:r>
          </w:p>
        </w:tc>
      </w:tr>
      <w:tr>
        <w:trPr>
          <w:trHeight w:val="26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Limited</w:t>
            </w:r>
          </w:p>
        </w:tc>
        <w:tc>
          <w:tcPr>
            <w:tcW w:w="3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L&amp;V 5 México, S. de R.L. de C.V.</w:t>
            </w:r>
          </w:p>
        </w:tc>
        <w:tc>
          <w:tcPr>
            <w:tcW w:w="32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(Bau Bang) Company</w:t>
            </w:r>
          </w:p>
        </w:tc>
        <w:tc>
          <w:tcPr>
            <w:tcW w:w="322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Vietnam</w:t>
            </w:r>
          </w:p>
        </w:tc>
      </w:tr>
      <w:tr>
        <w:trPr>
          <w:trHeight w:val="26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Limited</w:t>
            </w:r>
          </w:p>
        </w:tc>
        <w:tc>
          <w:tcPr>
            <w:tcW w:w="3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Leggett &amp; Platt (Guangzhou) Co., Ltd.</w:t>
            </w:r>
          </w:p>
        </w:tc>
        <w:tc>
          <w:tcPr>
            <w:tcW w:w="32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(Jiaxing) Co., Ltd.</w:t>
            </w:r>
          </w:p>
        </w:tc>
        <w:tc>
          <w:tcPr>
            <w:tcW w:w="3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Leggett &amp; Platt (Shanghai) Co., Ltd.</w:t>
            </w:r>
          </w:p>
        </w:tc>
        <w:tc>
          <w:tcPr>
            <w:tcW w:w="32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(Shanghai) Consulting Co.,</w:t>
            </w:r>
          </w:p>
        </w:tc>
        <w:tc>
          <w:tcPr>
            <w:tcW w:w="322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Ltd.</w:t>
            </w:r>
          </w:p>
        </w:tc>
        <w:tc>
          <w:tcPr>
            <w:tcW w:w="3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Leggett &amp; Platt (Shanghai) Machinery</w:t>
            </w:r>
          </w:p>
        </w:tc>
        <w:tc>
          <w:tcPr>
            <w:tcW w:w="3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53"/>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Technology Co., Ltd.</w:t>
            </w:r>
          </w:p>
        </w:tc>
        <w:tc>
          <w:tcPr>
            <w:tcW w:w="3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(Taizhou) Co. Ltd.</w:t>
            </w:r>
          </w:p>
        </w:tc>
        <w:tc>
          <w:tcPr>
            <w:tcW w:w="3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Leggett &amp; Platt Asia Limited</w:t>
            </w:r>
          </w:p>
        </w:tc>
        <w:tc>
          <w:tcPr>
            <w:tcW w:w="3220" w:type="dxa"/>
            <w:vAlign w:val="bottom"/>
          </w:tcPr>
          <w:p>
            <w:pPr>
              <w:ind w:left="60"/>
              <w:spacing w:after="0"/>
              <w:rPr>
                <w:sz w:val="20"/>
                <w:szCs w:val="20"/>
                <w:color w:val="auto"/>
              </w:rPr>
            </w:pPr>
            <w:r>
              <w:rPr>
                <w:rFonts w:ascii="Arial" w:cs="Arial" w:eastAsia="Arial" w:hAnsi="Arial"/>
                <w:sz w:val="18"/>
                <w:szCs w:val="18"/>
                <w:color w:val="auto"/>
              </w:rPr>
              <w:t>L&amp;P Global Supply Chain Solutions</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Hong Kong</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Automotive Group - New</w:t>
            </w:r>
          </w:p>
        </w:tc>
        <w:tc>
          <w:tcPr>
            <w:tcW w:w="322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6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Jersey, LLC</w:t>
            </w:r>
          </w:p>
        </w:tc>
        <w:tc>
          <w:tcPr>
            <w:tcW w:w="3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Leggett &amp; Platt Automotive Group de</w:t>
            </w:r>
          </w:p>
        </w:tc>
        <w:tc>
          <w:tcPr>
            <w:tcW w:w="3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3"/>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Mexico, S. de R.L. de C.V.</w:t>
            </w:r>
          </w:p>
        </w:tc>
        <w:tc>
          <w:tcPr>
            <w:tcW w:w="3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Automotive India Private</w:t>
            </w:r>
          </w:p>
        </w:tc>
        <w:tc>
          <w:tcPr>
            <w:tcW w:w="322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India</w:t>
            </w:r>
          </w:p>
        </w:tc>
      </w:tr>
      <w:tr>
        <w:trPr>
          <w:trHeight w:val="26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Limited</w:t>
            </w:r>
          </w:p>
        </w:tc>
        <w:tc>
          <w:tcPr>
            <w:tcW w:w="3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800" w:type="dxa"/>
            <w:vAlign w:val="bottom"/>
          </w:tcPr>
          <w:p>
            <w:pPr>
              <w:ind w:left="120"/>
              <w:spacing w:after="0"/>
              <w:rPr>
                <w:sz w:val="20"/>
                <w:szCs w:val="20"/>
                <w:color w:val="auto"/>
              </w:rPr>
            </w:pPr>
            <w:r>
              <w:rPr>
                <w:rFonts w:ascii="Arial" w:cs="Arial" w:eastAsia="Arial" w:hAnsi="Arial"/>
                <w:sz w:val="18"/>
                <w:szCs w:val="18"/>
                <w:b w:val="1"/>
                <w:bCs w:val="1"/>
                <w:color w:val="auto"/>
              </w:rPr>
              <w:t>Leggett &amp; Platt Canada Co.</w:t>
            </w:r>
          </w:p>
        </w:tc>
        <w:tc>
          <w:tcPr>
            <w:tcW w:w="3220" w:type="dxa"/>
            <w:vAlign w:val="bottom"/>
          </w:tcPr>
          <w:p>
            <w:pPr>
              <w:ind w:left="60"/>
              <w:spacing w:after="0"/>
              <w:rPr>
                <w:sz w:val="20"/>
                <w:szCs w:val="20"/>
                <w:color w:val="auto"/>
              </w:rPr>
            </w:pPr>
            <w:r>
              <w:rPr>
                <w:rFonts w:ascii="Arial" w:cs="Arial" w:eastAsia="Arial" w:hAnsi="Arial"/>
                <w:sz w:val="18"/>
                <w:szCs w:val="18"/>
                <w:color w:val="auto"/>
              </w:rPr>
              <w:t>Canadian Furniture</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
        </w:trPr>
        <w:tc>
          <w:tcPr>
            <w:tcW w:w="3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80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Crown North America</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800" w:type="dxa"/>
            <w:vAlign w:val="bottom"/>
          </w:tcPr>
          <w:p>
            <w:pPr>
              <w:spacing w:after="0"/>
              <w:rPr>
                <w:sz w:val="21"/>
                <w:szCs w:val="21"/>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auto"/>
              </w:rPr>
              <w:t>Crown-VMS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8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44"/>
        </w:trPr>
        <w:tc>
          <w:tcPr>
            <w:tcW w:w="3800" w:type="dxa"/>
            <w:vAlign w:val="bottom"/>
            <w:shd w:val="clear" w:color="auto" w:fill="CCEEFF"/>
          </w:tcPr>
          <w:p>
            <w:pPr>
              <w:spacing w:after="0"/>
              <w:rPr>
                <w:sz w:val="21"/>
                <w:szCs w:val="21"/>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Design Fabricators</w:t>
            </w:r>
          </w:p>
        </w:tc>
        <w:tc>
          <w:tcPr>
            <w:tcW w:w="178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r>
      <w:tr>
        <w:trPr>
          <w:trHeight w:val="38"/>
        </w:trPr>
        <w:tc>
          <w:tcPr>
            <w:tcW w:w="3800" w:type="dxa"/>
            <w:vAlign w:val="bottom"/>
            <w:shd w:val="clear" w:color="auto" w:fill="CCEEFF"/>
          </w:tcPr>
          <w:p>
            <w:pPr>
              <w:spacing w:after="0"/>
              <w:rPr>
                <w:sz w:val="3"/>
                <w:szCs w:val="3"/>
                <w:color w:val="auto"/>
              </w:rPr>
            </w:pPr>
          </w:p>
        </w:tc>
        <w:tc>
          <w:tcPr>
            <w:tcW w:w="32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r>
    </w:tbl>
    <w:p>
      <w:pPr>
        <w:spacing w:after="0" w:line="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Design Fabricators/Fabricants de</w:t>
      </w:r>
    </w:p>
    <w:p>
      <w:pPr>
        <w:spacing w:after="0" w:line="2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179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3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Globe Spring</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Engineered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3590" cy="1790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Geo Components</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Hanes Geo</w:t>
      </w:r>
    </w:p>
    <w:p>
      <w:pPr>
        <w:spacing w:after="0" w:line="2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Components/Geocomposites Hanes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74"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8"/>
        </w:trPr>
        <w:tc>
          <w:tcPr>
            <w:tcW w:w="36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Name</w:t>
            </w:r>
          </w:p>
        </w:tc>
        <w:tc>
          <w:tcPr>
            <w:tcW w:w="34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Doing Business As</w:t>
            </w:r>
          </w:p>
        </w:tc>
        <w:tc>
          <w:tcPr>
            <w:tcW w:w="17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6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Hanes Industries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L&amp;P Automotive Group</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L&amp;P Automotive Group London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L&amp;P Plastics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L&amp;P Plastics/Plastiques L et P</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L&amp;P Work Furniture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 &amp; Platt Automotive Group</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Leggett &amp; Platt Work Furniture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Leggettwood</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Leggettwood, Roberval</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Leggettwood, St-Germain</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Leggettwood, St-Nicolas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Lenrod</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Lenrod - Hanes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Lenrod Industries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64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Lenrod Industries, a Division of Leggett</w:t>
            </w: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64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&amp; Platt Canada Co.</w:t>
            </w: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 Industries Lenrod</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64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Les Industries Lenrod, une Division de</w:t>
            </w: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36"/>
        </w:trPr>
        <w:tc>
          <w:tcPr>
            <w:tcW w:w="364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Societe Leggett &amp; Platt Canada</w:t>
            </w: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4"/>
        </w:trPr>
        <w:tc>
          <w:tcPr>
            <w:tcW w:w="36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No-Sag Spring Company</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Northfield Metal Products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Paris Spring</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Rothtex</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Schukra of North America</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Spruceland Forest Products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Vehicle Management Systems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VMS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Westex</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Westex International</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Wiz Wire and Spring</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Components Company,</w:t>
            </w:r>
          </w:p>
        </w:tc>
        <w:tc>
          <w:tcPr>
            <w:tcW w:w="3460" w:type="dxa"/>
            <w:vAlign w:val="bottom"/>
          </w:tcPr>
          <w:p>
            <w:pPr>
              <w:ind w:left="220"/>
              <w:spacing w:after="0"/>
              <w:rPr>
                <w:sz w:val="20"/>
                <w:szCs w:val="20"/>
                <w:color w:val="auto"/>
              </w:rPr>
            </w:pPr>
            <w:r>
              <w:rPr>
                <w:rFonts w:ascii="Arial" w:cs="Arial" w:eastAsia="Arial" w:hAnsi="Arial"/>
                <w:sz w:val="18"/>
                <w:szCs w:val="18"/>
                <w:color w:val="auto"/>
              </w:rPr>
              <w:t>Ark-Ell Springs</w:t>
            </w:r>
          </w:p>
        </w:tc>
        <w:tc>
          <w:tcPr>
            <w:tcW w:w="1700" w:type="dxa"/>
            <w:vAlign w:val="bottom"/>
          </w:tcPr>
          <w:p>
            <w:pPr>
              <w:jc w:val="right"/>
              <w:ind w:right="551"/>
              <w:spacing w:after="0"/>
              <w:rPr>
                <w:sz w:val="20"/>
                <w:szCs w:val="20"/>
                <w:color w:val="auto"/>
              </w:rPr>
            </w:pPr>
            <w:r>
              <w:rPr>
                <w:rFonts w:ascii="Arial" w:cs="Arial" w:eastAsia="Arial" w:hAnsi="Arial"/>
                <w:sz w:val="18"/>
                <w:szCs w:val="18"/>
                <w:color w:val="auto"/>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3"/>
        </w:trPr>
        <w:tc>
          <w:tcPr>
            <w:tcW w:w="3640" w:type="dxa"/>
            <w:vAlign w:val="bottom"/>
          </w:tcPr>
          <w:p>
            <w:pPr>
              <w:ind w:left="120"/>
              <w:spacing w:after="0"/>
              <w:rPr>
                <w:sz w:val="20"/>
                <w:szCs w:val="20"/>
                <w:color w:val="auto"/>
              </w:rPr>
            </w:pPr>
            <w:r>
              <w:rPr>
                <w:rFonts w:ascii="Arial" w:cs="Arial" w:eastAsia="Arial" w:hAnsi="Arial"/>
                <w:sz w:val="18"/>
                <w:szCs w:val="18"/>
                <w:b w:val="1"/>
                <w:bCs w:val="1"/>
                <w:color w:val="auto"/>
              </w:rPr>
              <w:t>Inc.</w:t>
            </w:r>
          </w:p>
        </w:tc>
        <w:tc>
          <w:tcPr>
            <w:tcW w:w="3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640" w:type="dxa"/>
            <w:vAlign w:val="bottom"/>
            <w:tcBorders>
              <w:bottom w:val="single" w:sz="8" w:color="CCEEFF"/>
            </w:tcBorders>
            <w:shd w:val="clear" w:color="auto" w:fill="CCEEFF"/>
          </w:tcPr>
          <w:p>
            <w:pPr>
              <w:spacing w:after="0"/>
              <w:rPr>
                <w:sz w:val="23"/>
                <w:szCs w:val="23"/>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L&amp;P Carpet Cushion</w:t>
            </w:r>
          </w:p>
        </w:tc>
        <w:tc>
          <w:tcPr>
            <w:tcW w:w="170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spacing w:after="0"/>
              <w:rPr>
                <w:sz w:val="23"/>
                <w:szCs w:val="23"/>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L&amp;P Flooring Products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L&amp;P Home Furniture</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L&amp;P Work Furniture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 &amp; Platt Bedding</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Leggett &amp; Platt Carpet Cushion</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 &amp; Platt Flooring Products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Leggett &amp; Platt Home Furniture</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6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Leggett &amp; Platt Work Furniture</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640" w:type="dxa"/>
            <w:vAlign w:val="bottom"/>
          </w:tcPr>
          <w:p>
            <w:pPr>
              <w:spacing w:after="0"/>
              <w:rPr>
                <w:sz w:val="21"/>
                <w:szCs w:val="21"/>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Matrex</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074"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74" w:right="33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28"/>
        </w:trPr>
        <w:tc>
          <w:tcPr>
            <w:tcW w:w="37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Name</w:t>
            </w:r>
          </w:p>
        </w:tc>
        <w:tc>
          <w:tcPr>
            <w:tcW w:w="32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Doing Business As</w:t>
            </w:r>
          </w:p>
        </w:tc>
        <w:tc>
          <w:tcPr>
            <w:tcW w:w="17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8"/>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7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Matrex Furniture Components</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Moiron</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Sackner</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Super Sagless Hardware</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Tupelo Sleeper</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Components Europe</w:t>
            </w:r>
          </w:p>
        </w:tc>
        <w:tc>
          <w:tcPr>
            <w:tcW w:w="3280" w:type="dxa"/>
            <w:vAlign w:val="bottom"/>
          </w:tcPr>
          <w:p>
            <w:pPr>
              <w:ind w:left="120"/>
              <w:spacing w:after="0"/>
              <w:rPr>
                <w:sz w:val="20"/>
                <w:szCs w:val="20"/>
                <w:color w:val="auto"/>
              </w:rPr>
            </w:pPr>
            <w:r>
              <w:rPr>
                <w:rFonts w:ascii="Arial" w:cs="Arial" w:eastAsia="Arial" w:hAnsi="Arial"/>
                <w:sz w:val="18"/>
                <w:szCs w:val="18"/>
                <w:color w:val="auto"/>
              </w:rPr>
              <w:t>L&amp;P Springs UK</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Limited</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Wellhouse</w:t>
            </w:r>
          </w:p>
        </w:tc>
        <w:tc>
          <w:tcPr>
            <w:tcW w:w="17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spacing w:after="0"/>
              <w:rPr>
                <w:sz w:val="23"/>
                <w:szCs w:val="23"/>
                <w:color w:val="auto"/>
              </w:rPr>
            </w:pP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Wellhouse Wire Products</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3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Cyprus Holdings (CAD)</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Limited</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Cyprus Holdings (EUR)</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Limited</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Cyprus Holdings (GBP)</w:t>
            </w:r>
          </w:p>
        </w:tc>
        <w:tc>
          <w:tcPr>
            <w:tcW w:w="328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Cyprus</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Limited</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Cyprus Holdings (USD)</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Cyprus</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Limited</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de Mexico, S. de R.L. de</w:t>
            </w:r>
          </w:p>
        </w:tc>
        <w:tc>
          <w:tcPr>
            <w:tcW w:w="328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C.V.</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do Brasil Ltda.</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France</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France</w:t>
            </w: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International Service</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Corporation</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International Trade</w:t>
            </w:r>
          </w:p>
        </w:tc>
        <w:tc>
          <w:tcPr>
            <w:tcW w:w="328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(Shanghai) Co., Ltd.</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Ireland Holdings Limited</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Office Components, LLC</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L&amp;P Work Furniture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740" w:type="dxa"/>
            <w:vAlign w:val="bottom"/>
          </w:tcPr>
          <w:p>
            <w:pPr>
              <w:spacing w:after="0"/>
              <w:rPr>
                <w:sz w:val="21"/>
                <w:szCs w:val="21"/>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Leggett &amp; Platt Work Furniture</w:t>
            </w: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7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LP Cincro</w:t>
            </w:r>
          </w:p>
        </w:tc>
        <w:tc>
          <w:tcPr>
            <w:tcW w:w="17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Leggett &amp; Platt Office Components</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International S.r.l.</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Residencial, S. de R.L. de</w:t>
            </w:r>
          </w:p>
        </w:tc>
        <w:tc>
          <w:tcPr>
            <w:tcW w:w="328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Mexico</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C.V.</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w w:val="99"/>
              </w:rPr>
              <w:t>Leggett &amp; Platt Servicios Ejecutivos, S. de</w:t>
            </w:r>
          </w:p>
        </w:tc>
        <w:tc>
          <w:tcPr>
            <w:tcW w:w="3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3"/>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R.L. de C.V.</w:t>
            </w:r>
          </w:p>
        </w:tc>
        <w:tc>
          <w:tcPr>
            <w:tcW w:w="3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Leggett &amp; Platt U.K. Limited</w:t>
            </w:r>
          </w:p>
        </w:tc>
        <w:tc>
          <w:tcPr>
            <w:tcW w:w="3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Legplat, S. de R.L. de C.V.</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LPI Michigan Realty LLC</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LPT d.o.o.</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Croatia</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Mangold Industries GmbH</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Germany</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ORG PHC Midco, Inc.</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Pacoma (China) Hydraulic Equipment Co.,</w:t>
            </w:r>
          </w:p>
        </w:tc>
        <w:tc>
          <w:tcPr>
            <w:tcW w:w="3280" w:type="dxa"/>
            <w:vAlign w:val="bottom"/>
            <w:shd w:val="clear" w:color="auto" w:fill="CCEEFF"/>
          </w:tcPr>
          <w:p>
            <w:pPr>
              <w:spacing w:after="0"/>
              <w:rPr>
                <w:sz w:val="20"/>
                <w:szCs w:val="20"/>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China</w:t>
            </w:r>
          </w:p>
        </w:tc>
      </w:tr>
      <w:tr>
        <w:trPr>
          <w:trHeight w:val="26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Ltd.</w:t>
            </w:r>
          </w:p>
        </w:tc>
        <w:tc>
          <w:tcPr>
            <w:tcW w:w="3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Pacoma GmbH</w:t>
            </w:r>
          </w:p>
        </w:tc>
        <w:tc>
          <w:tcPr>
            <w:tcW w:w="328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Germany</w:t>
            </w:r>
          </w:p>
        </w:tc>
      </w:tr>
      <w:tr>
        <w:trPr>
          <w:trHeight w:val="28"/>
        </w:trPr>
        <w:tc>
          <w:tcPr>
            <w:tcW w:w="3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Pacoma Limited</w:t>
            </w:r>
          </w:p>
        </w:tc>
        <w:tc>
          <w:tcPr>
            <w:tcW w:w="3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Hong Kong</w:t>
            </w:r>
          </w:p>
        </w:tc>
      </w:tr>
      <w:tr>
        <w:trPr>
          <w:trHeight w:val="254"/>
        </w:trPr>
        <w:tc>
          <w:tcPr>
            <w:tcW w:w="3740" w:type="dxa"/>
            <w:vAlign w:val="bottom"/>
          </w:tcPr>
          <w:p>
            <w:pPr>
              <w:ind w:left="120"/>
              <w:spacing w:after="0"/>
              <w:rPr>
                <w:sz w:val="20"/>
                <w:szCs w:val="20"/>
                <w:color w:val="auto"/>
              </w:rPr>
            </w:pPr>
            <w:r>
              <w:rPr>
                <w:rFonts w:ascii="Arial" w:cs="Arial" w:eastAsia="Arial" w:hAnsi="Arial"/>
                <w:sz w:val="18"/>
                <w:szCs w:val="18"/>
                <w:b w:val="1"/>
                <w:bCs w:val="1"/>
                <w:color w:val="auto"/>
              </w:rPr>
              <w:t>Pacoma USA Inc.</w:t>
            </w:r>
          </w:p>
        </w:tc>
        <w:tc>
          <w:tcPr>
            <w:tcW w:w="3280" w:type="dxa"/>
            <w:vAlign w:val="bottom"/>
          </w:tcPr>
          <w:p>
            <w:pPr>
              <w:ind w:left="20"/>
              <w:spacing w:after="0"/>
              <w:rPr>
                <w:sz w:val="20"/>
                <w:szCs w:val="20"/>
                <w:color w:val="auto"/>
              </w:rPr>
            </w:pPr>
            <w:r>
              <w:rPr>
                <w:rFonts w:ascii="Arial" w:cs="Arial" w:eastAsia="Arial" w:hAnsi="Arial"/>
                <w:sz w:val="18"/>
                <w:szCs w:val="18"/>
                <w:color w:val="auto"/>
              </w:rPr>
              <w:t>L&amp;P Hydraulics</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Pennsylvania</w:t>
            </w:r>
          </w:p>
        </w:tc>
      </w:tr>
    </w:tbl>
    <w:p>
      <w:pPr>
        <w:spacing w:after="0" w:line="200" w:lineRule="exact"/>
        <w:rPr>
          <w:sz w:val="20"/>
          <w:szCs w:val="20"/>
          <w:color w:val="auto"/>
        </w:rPr>
      </w:pPr>
    </w:p>
    <w:p>
      <w:pPr>
        <w:sectPr>
          <w:pgSz w:w="11900" w:h="16838" w:orient="portrait"/>
          <w:cols w:equalWidth="0" w:num="1">
            <w:col w:w="11240"/>
          </w:cols>
          <w:pgMar w:left="320" w:top="1074"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74" w:right="3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28"/>
        </w:trPr>
        <w:tc>
          <w:tcPr>
            <w:tcW w:w="35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Name</w:t>
            </w:r>
          </w:p>
        </w:tc>
        <w:tc>
          <w:tcPr>
            <w:tcW w:w="360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Doing Business As</w:t>
            </w:r>
          </w:p>
        </w:tc>
        <w:tc>
          <w:tcPr>
            <w:tcW w:w="17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 of Ownership</w:t>
            </w:r>
          </w:p>
        </w:tc>
        <w:tc>
          <w:tcPr>
            <w:tcW w:w="2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Place of Incorporation or</w:t>
            </w:r>
          </w:p>
        </w:tc>
      </w:tr>
      <w:tr>
        <w:trPr>
          <w:trHeight w:val="252"/>
        </w:trPr>
        <w:tc>
          <w:tcPr>
            <w:tcW w:w="35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8"/>
              </w:rPr>
              <w:t>Organization</w:t>
            </w:r>
          </w:p>
        </w:tc>
      </w:tr>
      <w:tr>
        <w:trPr>
          <w:trHeight w:val="262"/>
        </w:trPr>
        <w:tc>
          <w:tcPr>
            <w:tcW w:w="350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Leggett &amp; Platt Hydraulics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50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Pacoma Hydraulic Technology</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5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Peterson Chemical Technology, LLC</w:t>
            </w:r>
          </w:p>
        </w:tc>
        <w:tc>
          <w:tcPr>
            <w:tcW w:w="36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Texas</w:t>
            </w:r>
          </w:p>
        </w:tc>
      </w:tr>
      <w:tr>
        <w:trPr>
          <w:trHeight w:val="236"/>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Precision Hydraulic Cylinders (UK)</w:t>
            </w:r>
          </w:p>
        </w:tc>
        <w:tc>
          <w:tcPr>
            <w:tcW w:w="36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3"/>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Limited</w:t>
            </w:r>
          </w:p>
        </w:tc>
        <w:tc>
          <w:tcPr>
            <w:tcW w:w="3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69"/>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Precision Hydraulic Cylinders, Inc.</w:t>
            </w: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L&amp;P Hydraulics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North Carolina</w:t>
            </w:r>
          </w:p>
        </w:tc>
      </w:tr>
      <w:tr>
        <w:trPr>
          <w:trHeight w:val="244"/>
        </w:trPr>
        <w:tc>
          <w:tcPr>
            <w:tcW w:w="350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Leggett &amp; Platt Hydraulics</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5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50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PHC</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44"/>
        </w:trPr>
        <w:tc>
          <w:tcPr>
            <w:tcW w:w="350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Precision Hydraulic</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5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50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Precision Hydraulic Cylinders</w:t>
            </w:r>
          </w:p>
        </w:tc>
        <w:tc>
          <w:tcPr>
            <w:tcW w:w="17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r>
      <w:tr>
        <w:trPr>
          <w:trHeight w:val="254"/>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Precision Hydraulics Private Limited</w:t>
            </w:r>
          </w:p>
        </w:tc>
        <w:tc>
          <w:tcPr>
            <w:tcW w:w="36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
        </w:trPr>
        <w:tc>
          <w:tcPr>
            <w:tcW w:w="3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Pullmaflex Benelux N.V.</w:t>
            </w:r>
          </w:p>
        </w:tc>
        <w:tc>
          <w:tcPr>
            <w:tcW w:w="36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Belgium</w:t>
            </w:r>
          </w:p>
        </w:tc>
      </w:tr>
      <w:tr>
        <w:trPr>
          <w:trHeight w:val="254"/>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Pullmaflex International Limited</w:t>
            </w:r>
          </w:p>
        </w:tc>
        <w:tc>
          <w:tcPr>
            <w:tcW w:w="36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
        </w:trPr>
        <w:tc>
          <w:tcPr>
            <w:tcW w:w="3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Pullmaflex U.K. Limited</w:t>
            </w:r>
          </w:p>
        </w:tc>
        <w:tc>
          <w:tcPr>
            <w:tcW w:w="36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4"/>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Schukra Berndorf GmbH</w:t>
            </w:r>
          </w:p>
        </w:tc>
        <w:tc>
          <w:tcPr>
            <w:tcW w:w="36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
        </w:trPr>
        <w:tc>
          <w:tcPr>
            <w:tcW w:w="3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SCI Parent, Inc.</w:t>
            </w:r>
          </w:p>
        </w:tc>
        <w:tc>
          <w:tcPr>
            <w:tcW w:w="36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54"/>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Sponge-Cushion, Inc.</w:t>
            </w:r>
          </w:p>
        </w:tc>
        <w:tc>
          <w:tcPr>
            <w:tcW w:w="3600" w:type="dxa"/>
            <w:vAlign w:val="bottom"/>
          </w:tcPr>
          <w:p>
            <w:pPr>
              <w:ind w:left="360"/>
              <w:spacing w:after="0"/>
              <w:rPr>
                <w:sz w:val="20"/>
                <w:szCs w:val="20"/>
                <w:color w:val="auto"/>
              </w:rPr>
            </w:pPr>
            <w:r>
              <w:rPr>
                <w:rFonts w:ascii="Arial" w:cs="Arial" w:eastAsia="Arial" w:hAnsi="Arial"/>
                <w:sz w:val="18"/>
                <w:szCs w:val="18"/>
                <w:color w:val="auto"/>
              </w:rPr>
              <w:t>Tred-MOR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Illinois</w:t>
            </w:r>
          </w:p>
        </w:tc>
      </w:tr>
      <w:tr>
        <w:trPr>
          <w:trHeight w:val="28"/>
        </w:trPr>
        <w:tc>
          <w:tcPr>
            <w:tcW w:w="3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6"/>
        </w:trPr>
        <w:tc>
          <w:tcPr>
            <w:tcW w:w="3500" w:type="dxa"/>
            <w:vAlign w:val="bottom"/>
            <w:shd w:val="clear" w:color="auto" w:fill="CCEEFF"/>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Tred-MOR Floor Cushion and Acoustic</w:t>
            </w:r>
          </w:p>
        </w:tc>
        <w:tc>
          <w:tcPr>
            <w:tcW w:w="17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40"/>
        </w:trPr>
        <w:tc>
          <w:tcPr>
            <w:tcW w:w="350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17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r>
      <w:tr>
        <w:trPr>
          <w:trHeight w:val="254"/>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Spuhl GmbH</w:t>
            </w:r>
          </w:p>
        </w:tc>
        <w:tc>
          <w:tcPr>
            <w:tcW w:w="36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
        </w:trPr>
        <w:tc>
          <w:tcPr>
            <w:tcW w:w="3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Sterling Steel Company, LLC</w:t>
            </w: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Leggett &amp; Platt Rod &amp; Wire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44"/>
        </w:trPr>
        <w:tc>
          <w:tcPr>
            <w:tcW w:w="350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Leggett &amp; Platt Rod &amp; Wire Group</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8"/>
        </w:trPr>
        <w:tc>
          <w:tcPr>
            <w:tcW w:w="35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Suncoast Lots 579, LLC</w:t>
            </w:r>
          </w:p>
        </w:tc>
        <w:tc>
          <w:tcPr>
            <w:tcW w:w="36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Florida</w:t>
            </w:r>
          </w:p>
        </w:tc>
      </w:tr>
      <w:tr>
        <w:trPr>
          <w:trHeight w:val="236"/>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TAG Environmental Inc.</w:t>
            </w:r>
          </w:p>
        </w:tc>
        <w:tc>
          <w:tcPr>
            <w:tcW w:w="36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51%</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Federal Canadian</w:t>
            </w:r>
          </w:p>
        </w:tc>
      </w:tr>
      <w:tr>
        <w:trPr>
          <w:trHeight w:val="236"/>
        </w:trPr>
        <w:tc>
          <w:tcPr>
            <w:tcW w:w="3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Corporation</w:t>
            </w:r>
          </w:p>
        </w:tc>
      </w:tr>
      <w:tr>
        <w:trPr>
          <w:trHeight w:val="24"/>
        </w:trPr>
        <w:tc>
          <w:tcPr>
            <w:tcW w:w="3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Terrafix Geosynthetics Inc.</w:t>
            </w: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Nilex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Canada</w:t>
            </w:r>
          </w:p>
        </w:tc>
      </w:tr>
      <w:tr>
        <w:trPr>
          <w:trHeight w:val="244"/>
        </w:trPr>
        <w:tc>
          <w:tcPr>
            <w:tcW w:w="350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Geosynthetic System</w:t>
            </w: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82"/>
        </w:trPr>
        <w:tc>
          <w:tcPr>
            <w:tcW w:w="3500" w:type="dxa"/>
            <w:vAlign w:val="bottom"/>
          </w:tcPr>
          <w:p>
            <w:pPr>
              <w:spacing w:after="0"/>
              <w:rPr>
                <w:sz w:val="24"/>
                <w:szCs w:val="24"/>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Terrafix Environmental Technology</w:t>
            </w:r>
          </w:p>
        </w:tc>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8"/>
        </w:trPr>
        <w:tc>
          <w:tcPr>
            <w:tcW w:w="35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62"/>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Trio Line Polska sp. z o.o.</w:t>
            </w:r>
          </w:p>
        </w:tc>
        <w:tc>
          <w:tcPr>
            <w:tcW w:w="36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Poland</w:t>
            </w:r>
          </w:p>
        </w:tc>
      </w:tr>
      <w:tr>
        <w:trPr>
          <w:trHeight w:val="236"/>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Wuxi Leggett &amp; Platt-Huaguang</w:t>
            </w:r>
          </w:p>
        </w:tc>
        <w:tc>
          <w:tcPr>
            <w:tcW w:w="36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4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46"/>
        </w:trPr>
        <w:tc>
          <w:tcPr>
            <w:tcW w:w="3500" w:type="dxa"/>
            <w:vAlign w:val="bottom"/>
          </w:tcPr>
          <w:p>
            <w:pPr>
              <w:ind w:left="120"/>
              <w:spacing w:after="0"/>
              <w:rPr>
                <w:sz w:val="20"/>
                <w:szCs w:val="20"/>
                <w:color w:val="auto"/>
              </w:rPr>
            </w:pPr>
            <w:r>
              <w:rPr>
                <w:rFonts w:ascii="Arial" w:cs="Arial" w:eastAsia="Arial" w:hAnsi="Arial"/>
                <w:sz w:val="18"/>
                <w:szCs w:val="18"/>
                <w:b w:val="1"/>
                <w:bCs w:val="1"/>
                <w:color w:val="auto"/>
              </w:rPr>
              <w:t>Automobile Parts Co., Ltd.</w:t>
            </w:r>
          </w:p>
        </w:tc>
        <w:tc>
          <w:tcPr>
            <w:tcW w:w="3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7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We hereby consent to the incorporation by reference in the Registration Statements listed below of Leggett &amp; Platt, Incorporated of our report dated February 26, 2026 relating to the consolidated financial statements, financial statement schedule and the effectiveness of internal control over financial reporting, which appears in this Form 10-K.</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  Form S-3ASR, Registration No. 333-280206</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 .  Form S-8, Registration No. 333-157536</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 .  Form S-8, Registration No. 333-181432</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 .  Form S-8, Registration No. 333-203992</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 .  Form S-8, Registration No. 333-203995</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6 .  Form S-8, Registration No. 333-228189</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7 .  Form S-8, Registration No. 333-253875</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8 .  Form S-8, Registration No. 333-283376</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9 .  Form S-8, Registration No. 333-283377</w:t>
      </w:r>
    </w:p>
    <w:p>
      <w:pPr>
        <w:spacing w:after="0" w:line="3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 .  Form S-8, Registration No. 333-287362</w:t>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  Form S-8, Registration No. 333-287561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ectPr>
          <w:pgSz w:w="11900" w:h="16838" w:orient="portrait"/>
          <w:cols w:equalWidth="0" w:num="1">
            <w:col w:w="11240"/>
          </w:cols>
          <w:pgMar w:left="320" w:top="1019"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9"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b w:val="1"/>
          <w:bCs w:val="1"/>
          <w:i w:val="1"/>
          <w:iCs w:val="1"/>
          <w:color w:val="auto"/>
        </w:rPr>
        <w:t>KNOW ALL MEN BY THESE PRESENTS</w:t>
      </w:r>
      <w:r>
        <w:rPr>
          <w:rFonts w:ascii="Arial" w:cs="Arial" w:eastAsia="Arial" w:hAnsi="Arial"/>
          <w:sz w:val="18"/>
          <w:szCs w:val="18"/>
          <w:color w:val="auto"/>
        </w:rPr>
        <w:t>, that each of the undersigned directors of</w:t>
      </w:r>
      <w:r>
        <w:rPr>
          <w:rFonts w:ascii="Arial" w:cs="Arial" w:eastAsia="Arial" w:hAnsi="Arial"/>
          <w:sz w:val="18"/>
          <w:szCs w:val="18"/>
          <w:b w:val="1"/>
          <w:bCs w:val="1"/>
          <w:i w:val="1"/>
          <w:iCs w:val="1"/>
          <w:color w:val="auto"/>
        </w:rPr>
        <w:t xml:space="preserve"> LEGGETT &amp; PLATT, INCORPORATED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Missouri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nominate, constitute and appoint Karl G. Glassman, Benjamin M. Burns, Jennifer J. Davis and S. Scott Luton, or any one of them individually, his or her true and lawful attorneys-in-fact, to sign in the name of and on behalf of the undersigned directors of the Corporation and to file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the Corporation’s Annual Report on Form 10-K for the fiscal year ended December 31, 2025, and any other document or further Amendment to said Annual Report, and to take such other action, all as said attorneys-in-fact, or any one of them individually, deem necessary or advisable to the end that such Annual Report or Amendments thereto in respect of same, shall comply with the Securities Exchange Act of 1934, as amended, and the applicable rules of the SEC thereunder; and does hereby ratify and confirm all that said attorneys-in-fact, and each of them individually, may do by virtue hereof. This Power of Attorney may be signed in multiple counterparts, and all such counterparts, collectively, shall constitute a single document.</w:t>
      </w:r>
    </w:p>
    <w:p>
      <w:pPr>
        <w:spacing w:after="0" w:line="213" w:lineRule="exact"/>
        <w:rPr>
          <w:sz w:val="20"/>
          <w:szCs w:val="20"/>
          <w:color w:val="auto"/>
        </w:rPr>
      </w:pPr>
    </w:p>
    <w:p>
      <w:pPr>
        <w:ind w:right="100" w:firstLine="42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Power of Attorney or a counterpart hereof as of the 26th day of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2026.</w:t>
      </w:r>
    </w:p>
    <w:p>
      <w:pPr>
        <w:sectPr>
          <w:pgSz w:w="11900" w:h="16838" w:orient="portrait"/>
          <w:cols w:equalWidth="0" w:num="1">
            <w:col w:w="11240"/>
          </w:cols>
          <w:pgMar w:left="320" w:top="1086"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ANGELA BARBEE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Angela Barbee</w:t>
      </w:r>
    </w:p>
    <w:p>
      <w:pPr>
        <w:spacing w:after="0" w:line="343"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83820</wp:posOffset>
            </wp:positionV>
            <wp:extent cx="29451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3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Robert E. Brunner</w:t>
      </w:r>
    </w:p>
    <w:p>
      <w:pPr>
        <w:spacing w:after="0" w:line="34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MARY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Mary Campbell</w:t>
      </w:r>
    </w:p>
    <w:p>
      <w:pPr>
        <w:spacing w:after="0" w:line="34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 KARL G.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76200</wp:posOffset>
            </wp:positionV>
            <wp:extent cx="29451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2945130" cy="8255"/>
                    </a:xfrm>
                    <a:prstGeom prst="rect">
                      <a:avLst/>
                    </a:prstGeom>
                    <a:noFill/>
                  </pic:spPr>
                </pic:pic>
              </a:graphicData>
            </a:graphic>
          </wp:anchor>
        </w:drawing>
      </w:r>
    </w:p>
    <w:p>
      <w:pPr>
        <w:spacing w:after="0" w:line="12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Karl G. Glassman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1920"/>
        <w:spacing w:after="0"/>
        <w:rPr>
          <w:sz w:val="20"/>
          <w:szCs w:val="20"/>
          <w:color w:val="auto"/>
        </w:rPr>
      </w:pPr>
      <w:r>
        <w:rPr>
          <w:rFonts w:ascii="Arial" w:cs="Arial" w:eastAsia="Arial" w:hAnsi="Arial"/>
          <w:sz w:val="17"/>
          <w:szCs w:val="17"/>
          <w:color w:val="auto"/>
        </w:rPr>
        <w:t>/s/ JOSEPH W. MCCLANATHAN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83820</wp:posOffset>
            </wp:positionV>
            <wp:extent cx="26301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3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Joseph W. McClanathan</w:t>
      </w:r>
    </w:p>
    <w:p>
      <w:pPr>
        <w:spacing w:after="0" w:line="34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SRIKANTH PADMANABHAN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Srikanth Padmanabhan</w:t>
      </w:r>
    </w:p>
    <w:p>
      <w:pPr>
        <w:spacing w:after="0" w:line="34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JAI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Jai Shah</w:t>
      </w:r>
    </w:p>
    <w:p>
      <w:pPr>
        <w:spacing w:after="0" w:line="34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/s/ PHOEBE A.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76200</wp:posOffset>
            </wp:positionV>
            <wp:extent cx="26301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22"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Phoebe A. Wood</w:t>
      </w:r>
    </w:p>
    <w:p>
      <w:pPr>
        <w:sectPr>
          <w:pgSz w:w="11900" w:h="16838" w:orient="portrait"/>
          <w:cols w:equalWidth="0" w:num="2">
            <w:col w:w="6000" w:space="720"/>
            <w:col w:w="4520"/>
          </w:cols>
          <w:pgMar w:left="320" w:top="1086" w:right="339"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Karl G. Glassman, certify that:</w:t>
      </w:r>
    </w:p>
    <w:p>
      <w:pPr>
        <w:spacing w:after="0" w:line="88" w:lineRule="exact"/>
        <w:rPr>
          <w:sz w:val="20"/>
          <w:szCs w:val="20"/>
          <w:color w:val="auto"/>
        </w:rPr>
      </w:pPr>
    </w:p>
    <w:p>
      <w:pPr>
        <w:ind w:left="800" w:hanging="350"/>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report on Form 10-K of Leggett &amp; Platt, Incorporated;</w:t>
      </w:r>
    </w:p>
    <w:p>
      <w:pPr>
        <w:spacing w:after="0" w:line="87" w:lineRule="exact"/>
        <w:rPr>
          <w:rFonts w:ascii="Arial" w:cs="Arial" w:eastAsia="Arial" w:hAnsi="Arial"/>
          <w:sz w:val="18"/>
          <w:szCs w:val="18"/>
          <w:color w:val="auto"/>
        </w:rPr>
      </w:pPr>
    </w:p>
    <w:p>
      <w:pPr>
        <w:ind w:left="860" w:right="320" w:hanging="410"/>
        <w:spacing w:after="0" w:line="265" w:lineRule="auto"/>
        <w:tabs>
          <w:tab w:leader="none" w:pos="8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8"/>
          <w:szCs w:val="18"/>
          <w:color w:val="auto"/>
        </w:rPr>
      </w:pPr>
    </w:p>
    <w:p>
      <w:pPr>
        <w:jc w:val="both"/>
        <w:ind w:left="860" w:right="160" w:hanging="410"/>
        <w:spacing w:after="0" w:line="265" w:lineRule="auto"/>
        <w:tabs>
          <w:tab w:leader="none" w:pos="8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8"/>
          <w:szCs w:val="18"/>
          <w:color w:val="auto"/>
        </w:rPr>
      </w:pPr>
    </w:p>
    <w:p>
      <w:pPr>
        <w:ind w:left="1420" w:right="60" w:hanging="407"/>
        <w:spacing w:after="0" w:line="265" w:lineRule="auto"/>
        <w:tabs>
          <w:tab w:leader="none" w:pos="143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8"/>
          <w:szCs w:val="18"/>
          <w:color w:val="auto"/>
        </w:rPr>
      </w:pPr>
    </w:p>
    <w:p>
      <w:pPr>
        <w:ind w:left="1420" w:right="480" w:hanging="407"/>
        <w:spacing w:after="0" w:line="288" w:lineRule="auto"/>
        <w:tabs>
          <w:tab w:leader="none" w:pos="143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7"/>
          <w:szCs w:val="17"/>
          <w:color w:val="auto"/>
        </w:rPr>
      </w:pPr>
    </w:p>
    <w:p>
      <w:pPr>
        <w:ind w:left="1420" w:right="260" w:hanging="407"/>
        <w:spacing w:after="0" w:line="265" w:lineRule="auto"/>
        <w:tabs>
          <w:tab w:leader="none" w:pos="142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ind w:left="1420" w:right="20" w:hanging="407"/>
        <w:spacing w:after="0" w:line="265" w:lineRule="auto"/>
        <w:tabs>
          <w:tab w:leader="none" w:pos="143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8"/>
          <w:szCs w:val="18"/>
          <w:color w:val="auto"/>
        </w:rPr>
      </w:pPr>
    </w:p>
    <w:p>
      <w:pPr>
        <w:jc w:val="both"/>
        <w:ind w:left="1420" w:right="380" w:hanging="407"/>
        <w:spacing w:after="0" w:line="265" w:lineRule="auto"/>
        <w:tabs>
          <w:tab w:leader="none" w:pos="142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420" w:right="720" w:hanging="407"/>
        <w:spacing w:after="0" w:line="282" w:lineRule="auto"/>
        <w:tabs>
          <w:tab w:leader="none" w:pos="142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760" w:val="left"/>
          <w:tab w:leader="none" w:pos="7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2026</w:t>
      </w:r>
      <w:r>
        <w:rPr>
          <w:sz w:val="20"/>
          <w:szCs w:val="20"/>
          <w:color w:val="auto"/>
        </w:rPr>
        <w:tab/>
      </w:r>
      <w:r>
        <w:rPr>
          <w:rFonts w:ascii="Arial" w:cs="Arial" w:eastAsia="Arial" w:hAnsi="Arial"/>
          <w:sz w:val="18"/>
          <w:szCs w:val="18"/>
          <w:color w:val="auto"/>
        </w:rPr>
        <w:t>/s/ K</w:t>
      </w:r>
      <w:r>
        <w:rPr>
          <w:rFonts w:ascii="Arial" w:cs="Arial" w:eastAsia="Arial" w:hAnsi="Arial"/>
          <w:sz w:val="14"/>
          <w:szCs w:val="14"/>
          <w:color w:val="auto"/>
        </w:rPr>
        <w:t>ARL</w:t>
      </w:r>
      <w:r>
        <w:rPr>
          <w:rFonts w:ascii="Arial" w:cs="Arial" w:eastAsia="Arial" w:hAnsi="Arial"/>
          <w:sz w:val="18"/>
          <w:szCs w:val="18"/>
          <w:color w:val="auto"/>
        </w:rPr>
        <w:t xml:space="preserve"> G. G</w:t>
      </w:r>
      <w:r>
        <w:rPr>
          <w:rFonts w:ascii="Arial" w:cs="Arial" w:eastAsia="Arial" w:hAnsi="Arial"/>
          <w:sz w:val="14"/>
          <w:szCs w:val="14"/>
          <w:color w:val="auto"/>
        </w:rPr>
        <w:t>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16510</wp:posOffset>
            </wp:positionV>
            <wp:extent cx="34645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p>
      <w:pPr>
        <w:spacing w:after="0" w:line="14"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Karl G. Glassman</w:t>
      </w:r>
    </w:p>
    <w:p>
      <w:pPr>
        <w:spacing w:after="0" w:line="3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Leggett &amp; Platt, Incorporated</w:t>
      </w:r>
    </w:p>
    <w:p>
      <w:pPr>
        <w:sectPr>
          <w:pgSz w:w="11900" w:h="16838" w:orient="portrait"/>
          <w:cols w:equalWidth="0" w:num="1">
            <w:col w:w="11240"/>
          </w:cols>
          <w:pgMar w:left="320" w:top="1019"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Benjamin M. Burns, certify that:</w:t>
      </w:r>
    </w:p>
    <w:p>
      <w:pPr>
        <w:spacing w:after="0" w:line="88" w:lineRule="exact"/>
        <w:rPr>
          <w:sz w:val="20"/>
          <w:szCs w:val="20"/>
          <w:color w:val="auto"/>
        </w:rPr>
      </w:pPr>
    </w:p>
    <w:p>
      <w:pPr>
        <w:ind w:left="800" w:hanging="350"/>
        <w:spacing w:after="0"/>
        <w:tabs>
          <w:tab w:leader="none" w:pos="8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report on Form 10-K of Leggett &amp; Platt, Incorporated;</w:t>
      </w:r>
    </w:p>
    <w:p>
      <w:pPr>
        <w:spacing w:after="0" w:line="87" w:lineRule="exact"/>
        <w:rPr>
          <w:rFonts w:ascii="Arial" w:cs="Arial" w:eastAsia="Arial" w:hAnsi="Arial"/>
          <w:sz w:val="18"/>
          <w:szCs w:val="18"/>
          <w:color w:val="auto"/>
        </w:rPr>
      </w:pPr>
    </w:p>
    <w:p>
      <w:pPr>
        <w:ind w:left="860" w:right="320" w:hanging="410"/>
        <w:spacing w:after="0" w:line="265" w:lineRule="auto"/>
        <w:tabs>
          <w:tab w:leader="none" w:pos="8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8"/>
          <w:szCs w:val="18"/>
          <w:color w:val="auto"/>
        </w:rPr>
      </w:pPr>
    </w:p>
    <w:p>
      <w:pPr>
        <w:jc w:val="both"/>
        <w:ind w:left="860" w:right="160" w:hanging="410"/>
        <w:spacing w:after="0" w:line="265" w:lineRule="auto"/>
        <w:tabs>
          <w:tab w:leader="none" w:pos="80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8"/>
          <w:szCs w:val="18"/>
          <w:color w:val="auto"/>
        </w:rPr>
      </w:pPr>
    </w:p>
    <w:p>
      <w:pPr>
        <w:ind w:left="1420" w:right="60" w:hanging="407"/>
        <w:spacing w:after="0" w:line="265" w:lineRule="auto"/>
        <w:tabs>
          <w:tab w:leader="none" w:pos="143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8"/>
          <w:szCs w:val="18"/>
          <w:color w:val="auto"/>
        </w:rPr>
      </w:pPr>
    </w:p>
    <w:p>
      <w:pPr>
        <w:ind w:left="1420" w:right="480" w:hanging="407"/>
        <w:spacing w:after="0" w:line="288" w:lineRule="auto"/>
        <w:tabs>
          <w:tab w:leader="none" w:pos="1435"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7"/>
          <w:szCs w:val="17"/>
          <w:color w:val="auto"/>
        </w:rPr>
      </w:pPr>
    </w:p>
    <w:p>
      <w:pPr>
        <w:ind w:left="1420" w:right="260" w:hanging="407"/>
        <w:spacing w:after="0" w:line="265" w:lineRule="auto"/>
        <w:tabs>
          <w:tab w:leader="none" w:pos="142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8"/>
          <w:szCs w:val="18"/>
          <w:color w:val="auto"/>
        </w:rPr>
      </w:pPr>
    </w:p>
    <w:p>
      <w:pPr>
        <w:ind w:left="1420" w:right="20" w:hanging="407"/>
        <w:spacing w:after="0" w:line="265" w:lineRule="auto"/>
        <w:tabs>
          <w:tab w:leader="none" w:pos="143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8"/>
          <w:szCs w:val="18"/>
          <w:color w:val="auto"/>
        </w:rPr>
      </w:pPr>
    </w:p>
    <w:p>
      <w:pPr>
        <w:ind w:left="860" w:right="60" w:hanging="410"/>
        <w:spacing w:after="0" w:line="265" w:lineRule="auto"/>
        <w:tabs>
          <w:tab w:leader="none" w:pos="80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8"/>
          <w:szCs w:val="18"/>
          <w:color w:val="auto"/>
        </w:rPr>
      </w:pPr>
    </w:p>
    <w:p>
      <w:pPr>
        <w:jc w:val="both"/>
        <w:ind w:left="1420" w:right="380" w:hanging="407"/>
        <w:spacing w:after="0" w:line="265" w:lineRule="auto"/>
        <w:tabs>
          <w:tab w:leader="none" w:pos="142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420" w:right="720" w:hanging="407"/>
        <w:spacing w:after="0" w:line="282" w:lineRule="auto"/>
        <w:tabs>
          <w:tab w:leader="none" w:pos="142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760" w:val="left"/>
          <w:tab w:leader="none" w:pos="7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2026</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ENJAMIN</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16510</wp:posOffset>
            </wp:positionV>
            <wp:extent cx="34645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3464560" cy="8255"/>
                    </a:xfrm>
                    <a:prstGeom prst="rect">
                      <a:avLst/>
                    </a:prstGeom>
                    <a:noFill/>
                  </pic:spPr>
                </pic:pic>
              </a:graphicData>
            </a:graphic>
          </wp:anchor>
        </w:drawing>
      </w:r>
    </w:p>
    <w:p>
      <w:pPr>
        <w:spacing w:after="0" w:line="14"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Benjamin M. Burns</w:t>
      </w:r>
    </w:p>
    <w:p>
      <w:pPr>
        <w:spacing w:after="0" w:line="3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Leggett &amp; Platt, Incorporated</w:t>
      </w:r>
    </w:p>
    <w:p>
      <w:pPr>
        <w:sectPr>
          <w:pgSz w:w="11900" w:h="16838" w:orient="portrait"/>
          <w:cols w:equalWidth="0" w:num="1">
            <w:col w:w="11240"/>
          </w:cols>
          <w:pgMar w:left="320" w:top="1019"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0"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In connection with the Annual Report of Leggett &amp; Platt, Incorporated (the “Company”) on Form 10-K for the period ended December 31, 2025, as filed with the Securities and Exchange Commission on the date hereof (the “Report”), I, Karl G. Glassman, certify, pursuant to 18 U.S.C. § 1350, as adopted pursuant to § 906 of the Sarbanes-Oxley Act of 2002, that:</w:t>
      </w:r>
    </w:p>
    <w:p>
      <w:pPr>
        <w:spacing w:after="0" w:line="119" w:lineRule="exact"/>
        <w:rPr>
          <w:sz w:val="20"/>
          <w:szCs w:val="20"/>
          <w:color w:val="auto"/>
        </w:rPr>
      </w:pPr>
    </w:p>
    <w:p>
      <w:pPr>
        <w:ind w:left="720" w:hanging="270"/>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8" w:lineRule="exact"/>
        <w:rPr>
          <w:rFonts w:ascii="Arial" w:cs="Arial" w:eastAsia="Arial" w:hAnsi="Arial"/>
          <w:sz w:val="18"/>
          <w:szCs w:val="18"/>
          <w:color w:val="auto"/>
        </w:rPr>
      </w:pPr>
    </w:p>
    <w:p>
      <w:pPr>
        <w:ind w:right="20" w:firstLine="450"/>
        <w:spacing w:after="0" w:line="282" w:lineRule="auto"/>
        <w:tabs>
          <w:tab w:leader="none" w:pos="71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ARL</w:t>
      </w:r>
      <w:r>
        <w:rPr>
          <w:rFonts w:ascii="Arial" w:cs="Arial" w:eastAsia="Arial" w:hAnsi="Arial"/>
          <w:sz w:val="18"/>
          <w:szCs w:val="18"/>
          <w:color w:val="auto"/>
        </w:rPr>
        <w:t xml:space="preserve"> G. G</w:t>
      </w:r>
      <w:r>
        <w:rPr>
          <w:rFonts w:ascii="Arial" w:cs="Arial" w:eastAsia="Arial" w:hAnsi="Arial"/>
          <w:sz w:val="14"/>
          <w:szCs w:val="14"/>
          <w:color w:val="auto"/>
        </w:rPr>
        <w:t>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16510</wp:posOffset>
            </wp:positionV>
            <wp:extent cx="3234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Karl G. Glassman</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ectPr>
          <w:pgSz w:w="11900" w:h="16838" w:orient="portrait"/>
          <w:cols w:equalWidth="0" w:num="1">
            <w:col w:w="11240"/>
          </w:cols>
          <w:pgMar w:left="320" w:top="1019"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In connection with the Annual Report of Leggett &amp; Platt, Incorporated (the “Company”) on Form 10-K for the period ended December 31, 2025, as filed with the Securities and Exchange Commission on the date hereof (the “Report”), I, Benjamin M. Burns, certify, pursuant to 18 U.S.C. § 1350, as adopted pursuant to § 906 of the Sarbanes-Oxley Act of 2002, that:</w:t>
      </w:r>
    </w:p>
    <w:p>
      <w:pPr>
        <w:spacing w:after="0" w:line="119" w:lineRule="exact"/>
        <w:rPr>
          <w:sz w:val="20"/>
          <w:szCs w:val="20"/>
          <w:color w:val="auto"/>
        </w:rPr>
      </w:pPr>
    </w:p>
    <w:p>
      <w:pPr>
        <w:ind w:left="720" w:hanging="270"/>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8" w:lineRule="exact"/>
        <w:rPr>
          <w:rFonts w:ascii="Arial" w:cs="Arial" w:eastAsia="Arial" w:hAnsi="Arial"/>
          <w:sz w:val="18"/>
          <w:szCs w:val="18"/>
          <w:color w:val="auto"/>
        </w:rPr>
      </w:pPr>
    </w:p>
    <w:p>
      <w:pPr>
        <w:ind w:right="20" w:firstLine="450"/>
        <w:spacing w:after="0" w:line="282" w:lineRule="auto"/>
        <w:tabs>
          <w:tab w:leader="none" w:pos="7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ENJAMIN</w:t>
      </w:r>
      <w:r>
        <w:rPr>
          <w:rFonts w:ascii="Arial" w:cs="Arial" w:eastAsia="Arial" w:hAnsi="Arial"/>
          <w:sz w:val="18"/>
          <w:szCs w:val="18"/>
          <w:color w:val="auto"/>
        </w:rPr>
        <w:t xml:space="preserve"> M. B</w:t>
      </w:r>
      <w:r>
        <w:rPr>
          <w:rFonts w:ascii="Arial" w:cs="Arial" w:eastAsia="Arial" w:hAnsi="Arial"/>
          <w:sz w:val="14"/>
          <w:szCs w:val="14"/>
          <w:color w:val="auto"/>
        </w:rPr>
        <w: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16510</wp:posOffset>
            </wp:positionV>
            <wp:extent cx="40601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40601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Benjamin M. Burns</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sectPr>
      <w:pgSz w:w="11900" w:h="16838" w:orient="portrait"/>
      <w:cols w:equalWidth="0" w:num="1">
        <w:col w:w="11240"/>
      </w:cols>
      <w:pgMar w:left="320" w:top="10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1"/>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1"/>
      <w:numFmt w:val="bullet"/>
      <w:start w:val="1"/>
    </w:lvl>
  </w:abstractNum>
  <w:abstractNum w:abstractNumId="20">
    <w:nsid w:val="6590700B"/>
    <w:multiLevelType w:val="hybridMultilevel"/>
    <w:lvl w:ilvl="0">
      <w:lvlJc w:val="left"/>
      <w:lvlText w:val="2"/>
      <w:numFmt w:val="bullet"/>
      <w:start w:val="1"/>
    </w:lvl>
  </w:abstractNum>
  <w:abstractNum w:abstractNumId="21">
    <w:nsid w:val="15014ACB"/>
    <w:multiLevelType w:val="hybridMultilevel"/>
    <w:lvl w:ilvl="0">
      <w:lvlJc w:val="left"/>
      <w:lvlText w:val="•"/>
      <w:numFmt w:val="bullet"/>
      <w:start w:val="1"/>
    </w:lvl>
    <w:lvl w:ilvl="1">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1"/>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bullet"/>
      <w:start w:val="1"/>
    </w:lvl>
  </w:abstractNum>
  <w:abstractNum w:abstractNumId="31">
    <w:nsid w:val="540A471C"/>
    <w:multiLevelType w:val="hybridMultilevel"/>
    <w:lvl w:ilvl="0">
      <w:lvlJc w:val="left"/>
      <w:lvlText w:val="2"/>
      <w:numFmt w:val="bullet"/>
      <w:start w:val="1"/>
    </w:lvl>
  </w:abstractNum>
  <w:abstractNum w:abstractNumId="32">
    <w:nsid w:val="7BD3EE7B"/>
    <w:multiLevelType w:val="hybridMultilevel"/>
    <w:lvl w:ilvl="0">
      <w:lvlJc w:val="left"/>
      <w:lvlText w:val="3"/>
      <w:numFmt w:val="bullet"/>
      <w:start w:val="1"/>
    </w:lvl>
  </w:abstractNum>
  <w:abstractNum w:abstractNumId="33">
    <w:nsid w:val="51D9C564"/>
    <w:multiLevelType w:val="hybridMultilevel"/>
    <w:lvl w:ilvl="0">
      <w:lvlJc w:val="left"/>
      <w:lvlText w:val="1"/>
      <w:numFmt w:val="bullet"/>
      <w:start w:val="1"/>
    </w:lvl>
  </w:abstractNum>
  <w:abstractNum w:abstractNumId="34">
    <w:nsid w:val="613EFDC5"/>
    <w:multiLevelType w:val="hybridMultilevel"/>
    <w:lvl w:ilvl="0">
      <w:lvlJc w:val="left"/>
      <w:lvlText w:val="2"/>
      <w:numFmt w:val="bullet"/>
      <w:start w:val="1"/>
    </w:lvl>
  </w:abstractNum>
  <w:abstractNum w:abstractNumId="35">
    <w:nsid w:val="BF72B14"/>
    <w:multiLevelType w:val="hybridMultilevel"/>
    <w:lvl w:ilvl="0">
      <w:lvlJc w:val="left"/>
      <w:lvlText w:val="3"/>
      <w:numFmt w:val="bullet"/>
      <w:start w:val="1"/>
    </w:lvl>
  </w:abstractNum>
  <w:abstractNum w:abstractNumId="36">
    <w:nsid w:val="11447B73"/>
    <w:multiLevelType w:val="hybridMultilevel"/>
    <w:lvl w:ilvl="0">
      <w:lvlJc w:val="left"/>
      <w:lvlText w:val="1"/>
      <w:numFmt w:val="bullet"/>
      <w:start w:val="1"/>
    </w:lvl>
  </w:abstractNum>
  <w:abstractNum w:abstractNumId="37">
    <w:nsid w:val="42963E5A"/>
    <w:multiLevelType w:val="hybridMultilevel"/>
    <w:lvl w:ilvl="0">
      <w:lvlJc w:val="left"/>
      <w:lvlText w:val="1"/>
      <w:numFmt w:val="bullet"/>
      <w:start w:val="1"/>
    </w:lvl>
  </w:abstractNum>
  <w:abstractNum w:abstractNumId="38">
    <w:nsid w:val="A0382C5"/>
    <w:multiLevelType w:val="hybridMultilevel"/>
    <w:lvl w:ilvl="0">
      <w:lvlJc w:val="left"/>
      <w:lvlText w:val="2"/>
      <w:numFmt w:val="bullet"/>
      <w:start w:val="1"/>
    </w:lvl>
  </w:abstractNum>
  <w:abstractNum w:abstractNumId="39">
    <w:nsid w:val="8F2B15E"/>
    <w:multiLevelType w:val="hybridMultilevel"/>
    <w:lvl w:ilvl="0">
      <w:lvlJc w:val="left"/>
      <w:lvlText w:val="3"/>
      <w:numFmt w:val="bullet"/>
      <w:start w:val="1"/>
    </w:lvl>
  </w:abstractNum>
  <w:abstractNum w:abstractNumId="40">
    <w:nsid w:val="1A32234B"/>
    <w:multiLevelType w:val="hybridMultilevel"/>
    <w:lvl w:ilvl="0">
      <w:lvlJc w:val="left"/>
      <w:lvlText w:val="1"/>
      <w:numFmt w:val="bullet"/>
      <w:start w:val="1"/>
    </w:lvl>
  </w:abstractNum>
  <w:abstractNum w:abstractNumId="41">
    <w:nsid w:val="3B0FD379"/>
    <w:multiLevelType w:val="hybridMultilevel"/>
    <w:lvl w:ilvl="0">
      <w:lvlJc w:val="left"/>
      <w:lvlText w:val="2"/>
      <w:numFmt w:val="bullet"/>
      <w:start w:val="1"/>
    </w:lvl>
  </w:abstractNum>
  <w:abstractNum w:abstractNumId="42">
    <w:nsid w:val="68EB2F63"/>
    <w:multiLevelType w:val="hybridMultilevel"/>
    <w:lvl w:ilvl="0">
      <w:lvlJc w:val="left"/>
      <w:lvlText w:val="3"/>
      <w:numFmt w:val="bullet"/>
      <w:start w:val="1"/>
    </w:lvl>
  </w:abstractNum>
  <w:abstractNum w:abstractNumId="43">
    <w:nsid w:val="4962813B"/>
    <w:multiLevelType w:val="hybridMultilevel"/>
    <w:lvl w:ilvl="0">
      <w:lvlJc w:val="left"/>
      <w:lvlText w:val="4"/>
      <w:numFmt w:val="bullet"/>
      <w:start w:val="1"/>
    </w:lvl>
  </w:abstractNum>
  <w:abstractNum w:abstractNumId="44">
    <w:nsid w:val="60B6DF70"/>
    <w:multiLevelType w:val="hybridMultilevel"/>
    <w:lvl w:ilvl="0">
      <w:lvlJc w:val="left"/>
      <w:lvlText w:val="1"/>
      <w:numFmt w:val="bullet"/>
      <w:start w:val="1"/>
    </w:lvl>
  </w:abstractNum>
  <w:abstractNum w:abstractNumId="45">
    <w:nsid w:val="6A5EE64"/>
    <w:multiLevelType w:val="hybridMultilevel"/>
    <w:lvl w:ilvl="0">
      <w:lvlJc w:val="left"/>
      <w:lvlText w:val="2"/>
      <w:numFmt w:val="bullet"/>
      <w:start w:val="1"/>
    </w:lvl>
  </w:abstractNum>
  <w:abstractNum w:abstractNumId="46">
    <w:nsid w:val="14330624"/>
    <w:multiLevelType w:val="hybridMultilevel"/>
    <w:lvl w:ilvl="0">
      <w:lvlJc w:val="left"/>
      <w:lvlText w:val="1"/>
      <w:numFmt w:val="bullet"/>
      <w:start w:val="1"/>
    </w:lvl>
  </w:abstractNum>
  <w:abstractNum w:abstractNumId="47">
    <w:nsid w:val="7FFFCA11"/>
    <w:multiLevelType w:val="hybridMultilevel"/>
    <w:lvl w:ilvl="0">
      <w:lvlJc w:val="left"/>
      <w:lvlText w:val="1"/>
      <w:numFmt w:val="bullet"/>
      <w:start w:val="1"/>
    </w:lvl>
  </w:abstractNum>
  <w:abstractNum w:abstractNumId="48">
    <w:nsid w:val="1A27709E"/>
    <w:multiLevelType w:val="hybridMultilevel"/>
    <w:lvl w:ilvl="0">
      <w:lvlJc w:val="left"/>
      <w:lvlText w:val="1"/>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lvl w:ilvl="1">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1"/>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1"/>
      <w:numFmt w:val="bullet"/>
      <w:start w:val="1"/>
    </w:lvl>
  </w:abstractNum>
  <w:abstractNum w:abstractNumId="60">
    <w:nsid w:val="3222E7CD"/>
    <w:multiLevelType w:val="hybridMultilevel"/>
    <w:lvl w:ilvl="0">
      <w:lvlJc w:val="left"/>
      <w:lvlText w:val="2"/>
      <w:numFmt w:val="bullet"/>
      <w:start w:val="1"/>
    </w:lvl>
  </w:abstractNum>
  <w:abstractNum w:abstractNumId="61">
    <w:nsid w:val="74DE0EE3"/>
    <w:multiLevelType w:val="hybridMultilevel"/>
    <w:lvl w:ilvl="0">
      <w:lvlJc w:val="left"/>
      <w:lvlText w:val="3"/>
      <w:numFmt w:val="bullet"/>
      <w:start w:val="1"/>
    </w:lvl>
  </w:abstractNum>
  <w:abstractNum w:abstractNumId="62">
    <w:nsid w:val="68EBC550"/>
    <w:multiLevelType w:val="hybridMultilevel"/>
    <w:lvl w:ilvl="0">
      <w:lvlJc w:val="left"/>
      <w:lvlText w:val="4"/>
      <w:numFmt w:val="bullet"/>
      <w:start w:val="1"/>
    </w:lvl>
  </w:abstractNum>
  <w:abstractNum w:abstractNumId="63">
    <w:nsid w:val="2DF6D648"/>
    <w:multiLevelType w:val="hybridMultilevel"/>
    <w:lvl w:ilvl="0">
      <w:lvlJc w:val="left"/>
      <w:lvlText w:val="1"/>
      <w:numFmt w:val="bullet"/>
      <w:start w:val="1"/>
    </w:lvl>
  </w:abstractNum>
  <w:abstractNum w:abstractNumId="64">
    <w:nsid w:val="46B7D447"/>
    <w:multiLevelType w:val="hybridMultilevel"/>
    <w:lvl w:ilvl="0">
      <w:lvlJc w:val="left"/>
      <w:lvlText w:val="1"/>
      <w:numFmt w:val="bullet"/>
      <w:start w:val="1"/>
    </w:lvl>
  </w:abstractNum>
  <w:abstractNum w:abstractNumId="65">
    <w:nsid w:val="4A2AC315"/>
    <w:multiLevelType w:val="hybridMultilevel"/>
    <w:lvl w:ilvl="0">
      <w:lvlJc w:val="left"/>
      <w:lvlText w:val="1"/>
      <w:numFmt w:val="bullet"/>
      <w:start w:val="1"/>
    </w:lvl>
  </w:abstractNum>
  <w:abstractNum w:abstractNumId="66">
    <w:nsid w:val="39EE015C"/>
    <w:multiLevelType w:val="hybridMultilevel"/>
    <w:lvl w:ilvl="0">
      <w:lvlJc w:val="left"/>
      <w:lvlText w:val="1"/>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1"/>
      <w:numFmt w:val="bullet"/>
      <w:start w:val="1"/>
    </w:lvl>
  </w:abstractNum>
  <w:abstractNum w:abstractNumId="69">
    <w:nsid w:val="43F18422"/>
    <w:multiLevelType w:val="hybridMultilevel"/>
    <w:lvl w:ilvl="0">
      <w:lvlJc w:val="left"/>
      <w:lvlText w:val="1"/>
      <w:numFmt w:val="bullet"/>
      <w:start w:val="1"/>
    </w:lvl>
  </w:abstractNum>
  <w:abstractNum w:abstractNumId="70">
    <w:nsid w:val="60EF0119"/>
    <w:multiLevelType w:val="hybridMultilevel"/>
    <w:lvl w:ilvl="0">
      <w:lvlJc w:val="left"/>
      <w:lvlText w:val="2"/>
      <w:numFmt w:val="bullet"/>
      <w:start w:val="1"/>
    </w:lvl>
  </w:abstractNum>
  <w:abstractNum w:abstractNumId="71">
    <w:nsid w:val="26F324BA"/>
    <w:multiLevelType w:val="hybridMultilevel"/>
    <w:lvl w:ilvl="0">
      <w:lvlJc w:val="left"/>
      <w:lvlText w:val="1"/>
      <w:numFmt w:val="bullet"/>
      <w:start w:val="1"/>
    </w:lvl>
  </w:abstractNum>
  <w:abstractNum w:abstractNumId="72">
    <w:nsid w:val="7F01579B"/>
    <w:multiLevelType w:val="hybridMultilevel"/>
    <w:lvl w:ilvl="0">
      <w:lvlJc w:val="left"/>
      <w:lvlText w:val="2"/>
      <w:numFmt w:val="bullet"/>
      <w:start w:val="1"/>
    </w:lvl>
  </w:abstractNum>
  <w:abstractNum w:abstractNumId="73">
    <w:nsid w:val="49DA307D"/>
    <w:multiLevelType w:val="hybridMultilevel"/>
    <w:lvl w:ilvl="0">
      <w:lvlJc w:val="left"/>
      <w:lvlText w:val="1"/>
      <w:numFmt w:val="bullet"/>
      <w:start w:val="1"/>
    </w:lvl>
  </w:abstractNum>
  <w:abstractNum w:abstractNumId="74">
    <w:nsid w:val="7055A5F5"/>
    <w:multiLevelType w:val="hybridMultilevel"/>
    <w:lvl w:ilvl="0">
      <w:lvlJc w:val="left"/>
      <w:lvlText w:val="2"/>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3"/>
      <w:numFmt w:val="bullet"/>
      <w:start w:val="1"/>
    </w:lvl>
  </w:abstractNum>
  <w:abstractNum w:abstractNumId="77">
    <w:nsid w:val="488AC1A"/>
    <w:multiLevelType w:val="hybridMultilevel"/>
    <w:lvl w:ilvl="0">
      <w:lvlJc w:val="left"/>
      <w:lvlText w:val="4"/>
      <w:numFmt w:val="bullet"/>
      <w:start w:val="1"/>
    </w:lvl>
  </w:abstractNum>
  <w:abstractNum w:abstractNumId="78">
    <w:nsid w:val="5FB8011C"/>
    <w:multiLevelType w:val="hybridMultilevel"/>
    <w:lvl w:ilvl="0">
      <w:lvlJc w:val="left"/>
      <w:lvlText w:val="•"/>
      <w:numFmt w:val="bullet"/>
      <w:start w:val="1"/>
    </w:lvl>
    <w:lvl w:ilvl="1">
      <w:lvlJc w:val="left"/>
      <w:lvlText w:val="•"/>
      <w:numFmt w:val="bullet"/>
      <w:start w:val="1"/>
    </w:lvl>
  </w:abstractNum>
  <w:abstractNum w:abstractNumId="79">
    <w:nsid w:val="6AA78F7F"/>
    <w:multiLevelType w:val="hybridMultilevel"/>
    <w:lvl w:ilvl="0">
      <w:lvlJc w:val="left"/>
      <w:lvlText w:val="5"/>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1"/>
      <w:numFmt w:val="bullet"/>
      <w:start w:val="1"/>
    </w:lvl>
  </w:abstractNum>
  <w:abstractNum w:abstractNumId="82">
    <w:nsid w:val="6A5F7029"/>
    <w:multiLevelType w:val="hybridMultilevel"/>
    <w:lvl w:ilvl="0">
      <w:lvlJc w:val="left"/>
      <w:lvlText w:val="1"/>
      <w:numFmt w:val="bullet"/>
      <w:start w:val="1"/>
    </w:lvl>
  </w:abstractNum>
  <w:abstractNum w:abstractNumId="83">
    <w:nsid w:val="7D5E18F8"/>
    <w:multiLevelType w:val="hybridMultilevel"/>
    <w:lvl w:ilvl="0">
      <w:lvlJc w:val="left"/>
      <w:lvlText w:val="1"/>
      <w:numFmt w:val="bullet"/>
      <w:start w:val="1"/>
    </w:lvl>
  </w:abstractNum>
  <w:abstractNum w:abstractNumId="84">
    <w:nsid w:val="5F3534A4"/>
    <w:multiLevelType w:val="hybridMultilevel"/>
    <w:lvl w:ilvl="0">
      <w:lvlJc w:val="left"/>
      <w:lvlText w:val="2"/>
      <w:numFmt w:val="bullet"/>
      <w:start w:val="1"/>
    </w:lvl>
  </w:abstractNum>
  <w:abstractNum w:abstractNumId="85">
    <w:nsid w:val="73A1821B"/>
    <w:multiLevelType w:val="hybridMultilevel"/>
    <w:lvl w:ilvl="0">
      <w:lvlJc w:val="left"/>
      <w:lvlText w:val="1"/>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1"/>
      <w:numFmt w:val="bullet"/>
      <w:start w:val="1"/>
    </w:lvl>
  </w:abstractNum>
  <w:abstractNum w:abstractNumId="88">
    <w:nsid w:val="3FA62ACA"/>
    <w:multiLevelType w:val="hybridMultilevel"/>
    <w:lvl w:ilvl="0">
      <w:lvlJc w:val="left"/>
      <w:lvlText w:val="1"/>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upperLetter"/>
      <w:start w:val="1"/>
    </w:lvl>
  </w:abstractNum>
  <w:abstractNum w:abstractNumId="93">
    <w:nsid w:val="53299938"/>
    <w:multiLevelType w:val="hybridMultilevel"/>
    <w:lvl w:ilvl="0">
      <w:lvlJc w:val="left"/>
      <w:lvlText w:val="%1."/>
      <w:numFmt w:val="decimal"/>
      <w:start w:val="1"/>
    </w:lvl>
  </w:abstractNum>
  <w:abstractNum w:abstractNumId="94">
    <w:nsid w:val="1FBFE8E0"/>
    <w:multiLevelType w:val="hybridMultilevel"/>
    <w:lvl w:ilvl="0">
      <w:lvlJc w:val="left"/>
      <w:lvlText w:val="%1."/>
      <w:numFmt w:val="decimal"/>
      <w:start w:val="2"/>
    </w:lvl>
  </w:abstractNum>
  <w:abstractNum w:abstractNumId="95">
    <w:nsid w:val="5092CA79"/>
    <w:multiLevelType w:val="hybridMultilevel"/>
    <w:lvl w:ilvl="0">
      <w:lvlJc w:val="left"/>
      <w:lvlText w:val="%1."/>
      <w:numFmt w:val="decimal"/>
      <w:start w:val="3"/>
    </w:lvl>
  </w:abstractNum>
  <w:abstractNum w:abstractNumId="96">
    <w:nsid w:val="1D545C4D"/>
    <w:multiLevelType w:val="hybridMultilevel"/>
    <w:lvl w:ilvl="0">
      <w:lvlJc w:val="left"/>
      <w:lvlText w:val="%1."/>
      <w:numFmt w:val="decimal"/>
      <w:start w:val="4"/>
    </w:lvl>
  </w:abstractNum>
  <w:abstractNum w:abstractNumId="97">
    <w:nsid w:val="59ADEA3D"/>
    <w:multiLevelType w:val="hybridMultilevel"/>
    <w:lvl w:ilvl="0">
      <w:lvlJc w:val="left"/>
      <w:lvlText w:val="%1."/>
      <w:numFmt w:val="decimal"/>
      <w:start w:val="5"/>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1."/>
      <w:numFmt w:val="upperLetter"/>
      <w:start w:val="2"/>
    </w:lvl>
  </w:abstractNum>
  <w:abstractNum w:abstractNumId="101">
    <w:nsid w:val="97E1B4E"/>
    <w:multiLevelType w:val="hybridMultilevel"/>
    <w:lvl w:ilvl="0">
      <w:lvlJc w:val="left"/>
      <w:lvlText w:val="%1."/>
      <w:numFmt w:val="decimal"/>
      <w:start w:val="1"/>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decimal"/>
      <w:start w:val="2"/>
    </w:lvl>
  </w:abstractNum>
  <w:abstractNum w:abstractNumId="104">
    <w:nsid w:val="53584BCB"/>
    <w:multiLevelType w:val="hybridMultilevel"/>
    <w:lvl w:ilvl="0">
      <w:lvlJc w:val="left"/>
      <w:lvlText w:val="%1."/>
      <w:numFmt w:val="decimal"/>
      <w:start w:val="3"/>
    </w:lvl>
  </w:abstractNum>
  <w:abstractNum w:abstractNumId="105">
    <w:nsid w:val="415E286C"/>
    <w:multiLevelType w:val="hybridMultilevel"/>
    <w:lvl w:ilvl="0">
      <w:lvlJc w:val="left"/>
      <w:lvlText w:val="%1."/>
      <w:numFmt w:val="decimal"/>
      <w:start w:val="4"/>
    </w:lvl>
  </w:abstractNum>
  <w:abstractNum w:abstractNumId="106">
    <w:nsid w:val="7C58FD05"/>
    <w:multiLevelType w:val="hybridMultilevel"/>
    <w:lvl w:ilvl="0">
      <w:lvlJc w:val="left"/>
      <w:lvlText w:val="%1."/>
      <w:numFmt w:val="decimal"/>
      <w:start w:val="5"/>
    </w:lvl>
  </w:abstractNum>
  <w:abstractNum w:abstractNumId="107">
    <w:nsid w:val="23D86AAC"/>
    <w:multiLevelType w:val="hybridMultilevel"/>
    <w:lvl w:ilvl="0">
      <w:lvlJc w:val="left"/>
      <w:lvlText w:val="%1."/>
      <w:numFmt w:val="decimal"/>
      <w:start w:val="6"/>
    </w:lvl>
  </w:abstractNum>
  <w:abstractNum w:abstractNumId="108">
    <w:nsid w:val="45E6D486"/>
    <w:multiLevelType w:val="hybridMultilevel"/>
    <w:lvl w:ilvl="0">
      <w:lvlJc w:val="left"/>
      <w:lvlText w:val="%1."/>
      <w:numFmt w:val="decimal"/>
      <w:start w:val="7"/>
    </w:lvl>
  </w:abstractNum>
  <w:abstractNum w:abstractNumId="109">
    <w:nsid w:val="5C10FE21"/>
    <w:multiLevelType w:val="hybridMultilevel"/>
    <w:lvl w:ilvl="0">
      <w:lvlJc w:val="left"/>
      <w:lvlText w:val="(%1)"/>
      <w:numFmt w:val="upperLetter"/>
      <w:start w:val="1"/>
    </w:lvl>
  </w:abstractNum>
  <w:abstractNum w:abstractNumId="110">
    <w:nsid w:val="E7FFA2B"/>
    <w:multiLevelType w:val="hybridMultilevel"/>
    <w:lvl w:ilvl="0">
      <w:lvlJc w:val="left"/>
      <w:lvlText w:val="%1."/>
      <w:numFmt w:val="decimal"/>
      <w:start w:val="8"/>
    </w:lvl>
  </w:abstractNum>
  <w:abstractNum w:abstractNumId="111">
    <w:nsid w:val="3C5991AA"/>
    <w:multiLevelType w:val="hybridMultilevel"/>
    <w:lvl w:ilvl="0">
      <w:lvlJc w:val="left"/>
      <w:lvlText w:val="%1."/>
      <w:numFmt w:val="upperLetter"/>
      <w:start w:val="3"/>
    </w:lvl>
  </w:abstractNum>
  <w:abstractNum w:abstractNumId="112">
    <w:nsid w:val="4BD8591A"/>
    <w:multiLevelType w:val="hybridMultilevel"/>
    <w:lvl w:ilvl="0">
      <w:lvlJc w:val="left"/>
      <w:lvlText w:val="(%1)"/>
      <w:numFmt w:val="lowerLetter"/>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73" Type="http://schemas.openxmlformats.org/officeDocument/2006/relationships/image" Target="media/image161.png"/><Relationship Id="rId175" Type="http://schemas.openxmlformats.org/officeDocument/2006/relationships/image" Target="media/image162.png"/><Relationship Id="rId178" Type="http://schemas.openxmlformats.org/officeDocument/2006/relationships/image" Target="media/image163.png"/><Relationship Id="rId181" Type="http://schemas.openxmlformats.org/officeDocument/2006/relationships/image" Target="media/image164.png"/><Relationship Id="rId184"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18"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50" Type="http://schemas.openxmlformats.org/officeDocument/2006/relationships/hyperlink" Target="https://www.sec.gov/ix?doc=/Archives/edgar/data/58492/000005849224000501/leg-20240630.htm" TargetMode="External"/><Relationship Id="rId169" Type="http://schemas.openxmlformats.org/officeDocument/2006/relationships/hyperlink" Target="https://www.sec.gov/Archives/edgar/data/58492/000119312525070909/d906312dex21.htm" TargetMode="External"/><Relationship Id="rId170" Type="http://schemas.openxmlformats.org/officeDocument/2006/relationships/hyperlink" Target="https://www.sec.gov/Archives/edgar/data/58492/000005849225000604/legex22flow-spaamendment.htm" TargetMode="External"/><Relationship Id="rId171" Type="http://schemas.openxmlformats.org/officeDocument/2006/relationships/hyperlink" Target="https://www.sec.gov/Archives/edgar/data/58492/000005849224000648/exhibit311-articlesofincor.htm" TargetMode="External"/><Relationship Id="rId172" Type="http://schemas.openxmlformats.org/officeDocument/2006/relationships/hyperlink" Target="https://www.sec.gov/Archives/edgar/data/58492/000005849224000648/exhibit322bylaws10312024.htm" TargetMode="External"/><Relationship Id="rId174" Type="http://schemas.openxmlformats.org/officeDocument/2006/relationships/hyperlink" Target="https://www.sec.gov/Archives/edgar/data/58492/000119312505102328/dex41.htm" TargetMode="External"/><Relationship Id="rId176" Type="http://schemas.openxmlformats.org/officeDocument/2006/relationships/hyperlink" Target="https://www.sec.gov/Archives/edgar/data/58492/000119312509036996/dex431.htm" TargetMode="External"/><Relationship Id="rId177" Type="http://schemas.openxmlformats.org/officeDocument/2006/relationships/hyperlink" Target="https://www.sec.gov/Archives/edgar/data/58492/000119312521334798/d176303dex43.htm" TargetMode="External"/><Relationship Id="rId179" Type="http://schemas.openxmlformats.org/officeDocument/2006/relationships/hyperlink" Target="https://www.sec.gov/Archives/edgar/data/58492/000119312519066807/d713162dex43.htm" TargetMode="External"/><Relationship Id="rId180" Type="http://schemas.openxmlformats.org/officeDocument/2006/relationships/hyperlink" Target="https://www.sec.gov/Archives/edgar/data/58492/000119312517345404/d490614dex43.htm" TargetMode="External"/><Relationship Id="rId182" Type="http://schemas.openxmlformats.org/officeDocument/2006/relationships/hyperlink" Target="https://www.sec.gov/Archives/edgar/data/58492/000005849225000136/legex46descriptionofcapita.htm" TargetMode="External"/><Relationship Id="rId183" Type="http://schemas.openxmlformats.org/officeDocument/2006/relationships/hyperlink" Target="https://www.sec.gov/Archives/edgar/data/58492/000119312525335373/d86621dex101.htm" TargetMode="External"/><Relationship Id="rId185" Type="http://schemas.openxmlformats.org/officeDocument/2006/relationships/hyperlink" Target="https://www.sec.gov/Archives/edgar/data/58492/000119312524143324/d839757dex102.htm" TargetMode="External"/><Relationship Id="rId186" Type="http://schemas.openxmlformats.org/officeDocument/2006/relationships/hyperlink" Target="https://www.sec.gov/Archives/edgar/data/58492/000119312523172569/d511579dex102.htm" TargetMode="External"/><Relationship Id="rId187" Type="http://schemas.openxmlformats.org/officeDocument/2006/relationships/hyperlink" Target="https://www.sec.gov/Archives/edgar/data/58492/000005849225000136/legex103severancebenefitag.htm" TargetMode="External"/><Relationship Id="rId190" Type="http://schemas.openxmlformats.org/officeDocument/2006/relationships/hyperlink" Target="https://www.sec.gov/Archives/edgar/data/58492/000119312523046623/d461901dex105.htm" TargetMode="External"/><Relationship Id="rId191" Type="http://schemas.openxmlformats.org/officeDocument/2006/relationships/hyperlink" Target="https://www.sec.gov/Archives/edgar/data/58492/000005849225000136/legex105severancebenefitag.htm" TargetMode="External"/><Relationship Id="rId192" Type="http://schemas.openxmlformats.org/officeDocument/2006/relationships/hyperlink" Target="https://www.sec.gov/Archives/edgar/data/58492/000119312524143324/d839757dex103.htm" TargetMode="External"/><Relationship Id="rId193" Type="http://schemas.openxmlformats.org/officeDocument/2006/relationships/hyperlink" Target="https://www.sec.gov/Archives/edgar/data/58492/000119312524143324/d839757dex104.htm" TargetMode="External"/><Relationship Id="rId194" Type="http://schemas.openxmlformats.org/officeDocument/2006/relationships/hyperlink" Target="https://www.sec.gov/Archives/edgar/data/58492/000095013102001230/dex10111.txt" TargetMode="External"/><Relationship Id="rId195" Type="http://schemas.openxmlformats.org/officeDocument/2006/relationships/hyperlink" Target="https://www.sec.gov/Archives/edgar/data/58492/000119312526067008/d29281dex101.htm" TargetMode="External"/><Relationship Id="rId196" Type="http://schemas.openxmlformats.org/officeDocument/2006/relationships/hyperlink" Target="https://www.sec.gov/ix?doc=/Archives/edgar/data/58492/000119312525063364/d831140ddef14a.htm#toc831140_34" TargetMode="External"/><Relationship Id="rId197" Type="http://schemas.openxmlformats.org/officeDocument/2006/relationships/hyperlink" Target="https://www.sec.gov/Archives/edgar/data/58492/000119312514395687/d813611dex101.htm" TargetMode="External"/><Relationship Id="rId198" Type="http://schemas.openxmlformats.org/officeDocument/2006/relationships/hyperlink" Target="https://www.sec.gov/Archives/edgar/data/58492/000119312526067008/d29281dex104.htm" TargetMode="External"/><Relationship Id="rId199" Type="http://schemas.openxmlformats.org/officeDocument/2006/relationships/hyperlink" Target="https://www.sec.gov/Archives/edgar/data/58492/000119312525042721/d916415dex104.htm" TargetMode="External"/><Relationship Id="rId200" Type="http://schemas.openxmlformats.org/officeDocument/2006/relationships/hyperlink" Target="https://www.sec.gov/Archives/edgar/data/58492/000119312524143324/d839757dex101.htm" TargetMode="External"/><Relationship Id="rId201" Type="http://schemas.openxmlformats.org/officeDocument/2006/relationships/hyperlink" Target="https://www.sec.gov/Archives/edgar/data/58492/000119312524050650/d780099dex106.htm" TargetMode="External"/><Relationship Id="rId202" Type="http://schemas.openxmlformats.org/officeDocument/2006/relationships/hyperlink" Target="https://www.sec.gov/Archives/edgar/data/58492/000005849225000136/legex10125formofrestricted.htm" TargetMode="External"/><Relationship Id="rId203" Type="http://schemas.openxmlformats.org/officeDocument/2006/relationships/hyperlink" Target="https://www.sec.gov/Archives/edgar/data/58492/000119312512078429/d270416dex1097.htm" TargetMode="External"/><Relationship Id="rId204" Type="http://schemas.openxmlformats.org/officeDocument/2006/relationships/hyperlink" Target="https://www.sec.gov/Archives/edgar/data/58492/000119312521054074/d136701dex106.htm" TargetMode="External"/><Relationship Id="rId205" Type="http://schemas.openxmlformats.org/officeDocument/2006/relationships/hyperlink" Target="https://www.sec.gov/Archives/edgar/data/58492/000119312524050650/d780099dex102.htm" TargetMode="External"/><Relationship Id="rId206" Type="http://schemas.openxmlformats.org/officeDocument/2006/relationships/hyperlink" Target="https://www.sec.gov/Archives/edgar/data/58492/000119312523172569/d511579dex106.htm" TargetMode="External"/><Relationship Id="rId209" Type="http://schemas.openxmlformats.org/officeDocument/2006/relationships/hyperlink" Target="https://www.sec.gov/Archives/edgar/data/58492/000119312520041866/d892027dex101.htm" TargetMode="External"/><Relationship Id="rId210" Type="http://schemas.openxmlformats.org/officeDocument/2006/relationships/hyperlink" Target="https://www.sec.gov/Archives/edgar/data/58492/000119312526067008/d29281dex102.htm" TargetMode="External"/><Relationship Id="rId211" Type="http://schemas.openxmlformats.org/officeDocument/2006/relationships/hyperlink" Target="https://www.sec.gov/Archives/edgar/data/58492/000119312525042721/d916415dex102.htm" TargetMode="External"/><Relationship Id="rId212" Type="http://schemas.openxmlformats.org/officeDocument/2006/relationships/hyperlink" Target="https://www.sec.gov/Archives/edgar/data/58492/000119312524050650/d780099dex103.htm" TargetMode="External"/><Relationship Id="rId213" Type="http://schemas.openxmlformats.org/officeDocument/2006/relationships/hyperlink" Target="https://www.sec.gov/Archives/edgar/data/58492/000119312523067612/d822385dex101.htm" TargetMode="External"/><Relationship Id="rId214" Type="http://schemas.openxmlformats.org/officeDocument/2006/relationships/hyperlink" Target="https://www.sec.gov/Archives/edgar/data/58492/000119312524249837/d826642dex101.htm" TargetMode="External"/><Relationship Id="rId215" Type="http://schemas.openxmlformats.org/officeDocument/2006/relationships/hyperlink" Target="https://www.sec.gov/Archives/edgar/data/58492/000119312517338471/d471937dex106.htm" TargetMode="External"/><Relationship Id="rId216" Type="http://schemas.openxmlformats.org/officeDocument/2006/relationships/hyperlink" Target="https://www.sec.gov/Archives/edgar/data/58492/000119312522289927/d315431dex101.htm" TargetMode="External"/><Relationship Id="rId217" Type="http://schemas.openxmlformats.org/officeDocument/2006/relationships/hyperlink" Target="https://www.sec.gov/Archives/edgar/data/58492/000119312508038495/dex1019.htm" TargetMode="External"/><Relationship Id="rId219" Type="http://schemas.openxmlformats.org/officeDocument/2006/relationships/hyperlink" Target="https://www.sec.gov/Archives/edgar/data/58492/000119312525165467/d926649dex101.htm" TargetMode="External"/><Relationship Id="rId220" Type="http://schemas.openxmlformats.org/officeDocument/2006/relationships/hyperlink" Target="https://www.sec.gov/Archives/edgar/data/58492/000119312514434913/d832734dex101.htm" TargetMode="External"/><Relationship Id="rId221" Type="http://schemas.openxmlformats.org/officeDocument/2006/relationships/hyperlink" Target="https://www.sec.gov/Archives/edgar/data/58492/000119312514434913/d832734dex102.htm" TargetMode="External"/><Relationship Id="rId224" Type="http://schemas.openxmlformats.org/officeDocument/2006/relationships/hyperlink" Target="https://www.sec.gov/Archives/edgar/data/58492/000005849224000174/legex97incentivecompensa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2026-02-26T15:22:43Z</dcterms:created>
  <dcterms:modified xsi:type="dcterms:W3CDTF">2026-02-26T15:22:43Z</dcterms:modified>
</cp:coreProperties>
</file>