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LEGGETT &amp; PLATT, INCORPORATED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9"/>
              </w:rPr>
              <w:t>Missouri</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001-07845</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44-0324630</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 Leggett Road,</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Carthage, MO</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64836</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417-358-8131</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LEG</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7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As previously disclosed, on April 13, 2026, Leggett &amp; Platt, Incorporated, a Missouri corporation (the “Company”) and Somnigroup International Inc., a Delaware corporation (“Parent”), entered into an Agreement and Plan of Merger (the “Merger Agreement”), by and among Parent, Sparrow Unity Corporation, a Missouri corporation and a direct, wholly owned subsidiary of Parent (“Merger Sub”), and the Company, pursuant to which, subject to the terms and conditions of the Merger Agreement, Merger Sub will merge with and into the Company (the “Merger”), with the Company surviving the Merger as a direct, wholly owned subsidiary of Parent.</w:t>
      </w:r>
    </w:p>
    <w:p>
      <w:pPr>
        <w:spacing w:after="0" w:line="183"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On June 3, 2026 at 11:59 p.m., Eastern Time, the required 30-day waiting period under the Hart-Scott-Rodino Antitrust Improvements Act of 1976, as amended (the “HSR Act”), expired.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expects the transaction to close by year-end 2026, subject to the fulfillment or waiver of certain conditions, including, among others,</w:t>
      </w:r>
    </w:p>
    <w:p>
      <w:pPr>
        <w:spacing w:after="0" w:line="27" w:lineRule="exact"/>
        <w:rPr>
          <w:sz w:val="20"/>
          <w:szCs w:val="20"/>
          <w:color w:val="auto"/>
        </w:rPr>
      </w:pPr>
    </w:p>
    <w:p>
      <w:pPr>
        <w:ind w:left="4" w:right="40" w:hanging="4"/>
        <w:spacing w:after="0" w:line="253" w:lineRule="auto"/>
        <w:tabs>
          <w:tab w:leader="none" w:pos="2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the Merger Agreement and approval of the Merger by the shareholders of the Company, (ii) the receipt of all clearances, consents and approvals under certain specified competition laws in Canada, the European Union, the United Kingdom, and the Republic of Korea, as well as under applicable foreign investment laws in Austria; (iii) the effectiveness of a registration statement on Form S-4 to be filed by Parent with the Securities and Exchange Commission (“SEC”) and the absence of any stop order or pending proceeding with respect thereto; and (iv) the absence of any material adverse effect with respect to Parent and the Company since the date of the Merger Agreement.</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This Current Report, including the information incorporated by reference herein, contains statements that may be characterized as “forward-looking” within the meaning of the federal securities laws. Such statements might include information concerning one or more of Parent’s and the Company’s plans, guidance, objectives, goals, strategies, and other information that is not historical information. When used in this Current Report, the words “will,” “targets,” “expects,” “anticipates,” “plans,” “proposed,” “intends,” “outlook,” and variations of such words or similar expressions are intended to identify forward-looking statements. These forward-looking statements include, without limitation, statements relating to Parent’s expectations regarding the impact of the proposed transaction on Parent’s brands, products, customer base, results of operations, or financial position, its share repurchases, adjusted EPS, net leverage, operating cash flow, net income, future performance, cost and run-rate synergies, funding sources, expected capital structure, the financial impact of the Company’s existing long-term debt, ability to deleverage after the proposed transaction, the expected timing and likelihood of completion of the proposed transaction, the integration of the Company with Parent’s business and personnel and Parent’s and the Company’s post-acquisition financial reporting. Any forward-looking statements contained herein are based upon current expectations and beliefs and various assumptions. There can be no assurance that these expectations or beliefs will prove correct.</w:t>
      </w:r>
    </w:p>
    <w:p>
      <w:pPr>
        <w:spacing w:after="0" w:line="192"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Numerous factors, many of which are beyond Parent’s and the Company’s control, could cause actual results to differ materially from any that may be expressed herein as forward-looking statements. These potential risks include risks associated with the Company’s ongoing operations; the ability to obtain the requisite Company shareholder approval; the risk that Parent or the Company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could give rise to the termination of the proposed transaction; the risk of delays in completing the proposed transaction; the ability to successfully integrate the Company into Parent’s operations and realize synergies from the proposed transaction and the expected run-rate of such synergies; the possibility that the expected benefits of the acquisition are not realized when expected or at all; the risk that any announcement relating to the proposed transaction could have adverse effects on the market price of Parent common stock or Company common stock; the risk of litigation related to the proposed transaction;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general economic, financial and industry conditions, particularly conditions relating to the financial performance and related credit issues present in the retail sector, as well as consumer confidence and the availability of consumer financing; the impact of the macroeconomic environment in both the U.S. and internationally on Parent and the Company; uncertainties arising from national and global events; industry competition; the effects of consolidation of retailers on revenues and costs; consumer acceptance and changes in demand for Parent’s and the Company’s products; and other risks inherent in Parent’s and the Company’s businesses.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such factors are difficult to predict, are beyond Parent’s and the Company’s control and are subject to additional risks and uncertainties, including those detailed in Parent’s annual report on Form 10-K for the year ended December 31, 2025 and those detailed in the Company’s annual report on Form 10-K for the year ended December 31, 2025 and Quarterly Report on Form 10-Q for the quarter ended March 31, 2026. These risks, as well as other risks related to the proposed transaction, will be included in the Form S-4 and proxy statement/prospectus (each as defined below) that Parent and the Company intend to file with the SEC in connection with the proposed transaction. There may be other factors that may cause Parent’s and the Company’s actual results to differ materially from the forward-looking statements. Neither Parent nor the Company undertakes any obligation to publicly update any forward-looking statement, whether as a result of new information, future events or otherwise, except as required by law. Readers are cautioned not to place undue reliance on these forward-looking statements that speak only as of the date hereof.</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This Current Report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the proposed transaction, Parent intends to file with the SEC a registration statement on Form S-4 (the “Form S-4”) that will include a proxy statement of the Company and that will also constitute a prospectus of Parent with respect to the shares of Parent common stock to be issued in the proposed transaction (the “proxy statement/prospectus”). The definitive proxy statement/prospectus (if and when available) will be filed with the SEC by, and mailed to shareholders of, the Company. Each of Parent and the Company may also file other relevant documents with the SEC regarding the proposed transaction.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 w:name="page4"/>
    <w:bookmarkEnd w:id="3"/>
    <w:p>
      <w:pPr>
        <w:ind w:right="1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Current Report is not a substitute for the Form S-4, the proxy statement/prospectus or any other document that Parent or the Company may file with the SEC in connection with the proposed transaction. INVESTORS AND SECURITY HOLDERS OF PARENT AND THE COMPANY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Parent and the Company, free of charge on the SEC’s website at www.sec.gov. Copies of the documents filed with, or furnished to, the SEC by Parent will be available free of charge on Parent’s website at https://somnigroup.com/investor-resources/financials/sec-filings/default.aspx. Copies of the documents filed with, or furnished to, the SEC by the Company will be available free of charge on the Company’s website at https://leggett.gcs-web.com/financials/sec-filings. The information included on, or accessible through, Parent’s or the Company’s website is not incorporated by reference into this Current Report.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7"/>
          <w:szCs w:val="17"/>
          <w:color w:val="auto"/>
        </w:rPr>
        <w:t>Parent, the Company and certain of their respective directors and executive officers may be deemed to be participants in the solicitation of proxies with respect to the proposed transaction under the rules of the SEC. You can find information about Parent’s executive officers and directors in Parent’s definitive proxy statement filed with the SEC on March 31, 2026, under the section entitled “Proposal No. 1 — Election of Directors - Executive Officers,” “Proposal No. 1 — Election of Directors - Nominees to Board of Directors,” “Stock Ownership – Stock Ownership of Certain Beneficial Owners and Directors and Executive Officers,” “Executive Compensation and Related Information - Compensation of Executive Officers” and “Director Compensation.” You can find information about the Company’s executive officers and directors in the Company’s Annual Report on Form</w:t>
      </w:r>
    </w:p>
    <w:p>
      <w:pPr>
        <w:spacing w:after="0" w:line="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10-K for the year ended December 31, 2025, under the section entitled “Supplemental Item: Information About our Executive Officers” and “Directors, Executive Officers and Corporate Governance,” and in the Company’s definitive proxy statement filed with the SEC on April 7, 2026, under the sections entitled “Corporate Governance and Board Matters — Director Compensation,” “Proposals to be Voted On at the Annual Meeting — Proposal One: Election of Directors,” “Executive Compensation and Related Matters — Compensation Discussion &amp; Analysis” and “Security Ownership — Security Ownership of Directors and Executive Officers.” Additional information regarding the interests of the participants in the solicitation of proxies will be included in the Form S-4, the proxy statement/prospectus and other relevant materials to be filed with the SEC if and when they become available. You should read the Form S-4 and the proxy statement/prospectus carefully when available before making any voting or investment decisions. You may obtain free copies of these documents using the sources indicated above.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4" w:name="page5"/>
    <w:bookmarkEnd w:id="4"/>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LEGGETT &amp; PLATT, INCORPORATED</w:t>
      </w:r>
    </w:p>
    <w:p>
      <w:pPr>
        <w:spacing w:after="0" w:line="225" w:lineRule="exact"/>
        <w:rPr>
          <w:sz w:val="20"/>
          <w:szCs w:val="20"/>
          <w:color w:val="auto"/>
        </w:rPr>
      </w:pPr>
    </w:p>
    <w:p>
      <w:pPr>
        <w:spacing w:after="0"/>
        <w:tabs>
          <w:tab w:leader="none" w:pos="5600" w:val="left"/>
          <w:tab w:leader="none" w:pos="7720" w:val="left"/>
        </w:tabs>
        <w:rPr>
          <w:sz w:val="20"/>
          <w:szCs w:val="20"/>
          <w:color w:val="auto"/>
        </w:rPr>
      </w:pPr>
      <w:r>
        <w:rPr>
          <w:rFonts w:ascii="Times New Roman" w:cs="Times New Roman" w:eastAsia="Times New Roman" w:hAnsi="Times New Roman"/>
          <w:sz w:val="18"/>
          <w:szCs w:val="18"/>
          <w:color w:val="auto"/>
        </w:rPr>
        <w:t>Date: June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ENNIFER</w:t>
      </w:r>
      <w:r>
        <w:rPr>
          <w:rFonts w:ascii="Times New Roman" w:cs="Times New Roman" w:eastAsia="Times New Roman" w:hAnsi="Times New Roman"/>
          <w:sz w:val="18"/>
          <w:szCs w:val="18"/>
          <w:color w:val="auto"/>
        </w:rPr>
        <w:t xml:space="preserve"> J. D</w:t>
      </w:r>
      <w:r>
        <w:rPr>
          <w:rFonts w:ascii="Times New Roman" w:cs="Times New Roman" w:eastAsia="Times New Roman" w:hAnsi="Times New Roman"/>
          <w:sz w:val="14"/>
          <w:szCs w:val="14"/>
          <w:color w:val="auto"/>
        </w:rPr>
        <w:t>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4"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Jennifer J. Davis</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Executive Vice President – General Counsel</w:t>
      </w:r>
    </w:p>
    <w:p>
      <w:pPr>
        <w:spacing w:after="0" w:line="15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0260"/>
      </w:cols>
      <w:pgMar w:left="440" w:top="26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2026-06-04T05:37:18Z</dcterms:created>
  <dcterms:modified xsi:type="dcterms:W3CDTF">2026-06-04T05:37:18Z</dcterms:modified>
</cp:coreProperties>
</file>