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156845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LEGGETT &amp; PLATT,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001-07845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44-0324630</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33"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No. 1 Leggett Road, Carthage, MO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64836</w:t>
      </w:r>
    </w:p>
    <w:p>
      <w:pPr>
        <w:spacing w:after="0" w:line="50" w:lineRule="exact"/>
        <w:rPr>
          <w:sz w:val="24"/>
          <w:szCs w:val="24"/>
          <w:color w:val="auto"/>
        </w:rPr>
      </w:pPr>
    </w:p>
    <w:p>
      <w:pPr>
        <w:sectPr>
          <w:pgSz w:w="11900" w:h="16838" w:orient="portrait"/>
          <w:cols w:equalWidth="0" w:num="2">
            <w:col w:w="7380" w:space="720"/>
            <w:col w:w="2920"/>
          </w:cols>
          <w:pgMar w:left="440" w:top="368"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417-358-8131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980" w:right="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J. Mitchell Dolloff to Chief Operating Officer</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6, 2018, the Board appointed J. Mitchell Dolloff to serve as Executive Vice President – Chief Operating Officer, effective January 1, 2019. He will also continue in his current role of President – Specialized Products and Furniture Products until such time as successor segment presidents are appointed. Mr. Dolloff serves at the pleasure of the Board and shall hold office until his death, resignation, retirement or removal or until his successor is appointed.</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Dolloff, age 52, has served the Company as Executive Vice President, President – Specialized Products &amp; Furniture Products since January 1, 2017. He served as Senior Vice President and President of the Specialized Products segment beginning in 2016, and served the Company as Vice President from 2014 to 2015. He also served as President of Automotive Asia from 2011 to 2013, Vice President of the Specialized Products segment from 2009 to 2013, and Director of Business Development for Specialized Products from 2007 to 2009. He has served the Company in various other capacities since 2000. Mr. Dolloff does not have any family relationships with any other director or executive officer of the Company. In addition, there are no related party transactions between the Company and Mr. Dolloff.</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Mr. Dolloff’s appointment to serve as Chief Operating Officer, his 2019 base salary was increased from $512,000 to $600,000, and his 2019 Key Officers Incentive Plan (“</w:t>
      </w:r>
      <w:r>
        <w:rPr>
          <w:rFonts w:ascii="Arial" w:cs="Arial" w:eastAsia="Arial" w:hAnsi="Arial"/>
          <w:sz w:val="18"/>
          <w:szCs w:val="18"/>
          <w:i w:val="1"/>
          <w:iCs w:val="1"/>
          <w:color w:val="auto"/>
        </w:rPr>
        <w:t>KOIP”</w:t>
      </w:r>
      <w:r>
        <w:rPr>
          <w:rFonts w:ascii="Arial" w:cs="Arial" w:eastAsia="Arial" w:hAnsi="Arial"/>
          <w:sz w:val="18"/>
          <w:szCs w:val="18"/>
          <w:color w:val="auto"/>
        </w:rPr>
        <w:t>) Target Percentage was increased from 80% to 100%. Also, Mr. Dolloff’s Performance Stock Unit (“</w:t>
      </w:r>
      <w:r>
        <w:rPr>
          <w:rFonts w:ascii="Arial" w:cs="Arial" w:eastAsia="Arial" w:hAnsi="Arial"/>
          <w:sz w:val="18"/>
          <w:szCs w:val="18"/>
          <w:i w:val="1"/>
          <w:iCs w:val="1"/>
          <w:color w:val="auto"/>
        </w:rPr>
        <w:t>PSU</w:t>
      </w:r>
      <w:r>
        <w:rPr>
          <w:rFonts w:ascii="Arial" w:cs="Arial" w:eastAsia="Arial" w:hAnsi="Arial"/>
          <w:sz w:val="18"/>
          <w:szCs w:val="18"/>
          <w:color w:val="auto"/>
        </w:rPr>
        <w:t>”) award multiple was increased from 250% to 300%. Finally, metrics for his 2019 KOIP Award Formula and the EBIT CAGR performance objective in his 2019 PSU award are expected to be based on the Company’s consolidated results whereas those objectives for 2018 are based on the results of the Specialized Products and Furniture Products segments only. The KOIP Target Percentage and PSU award multiple are more fully described below. The 2019 KOIP Award Formula and the EBIT CAGR performance objective in his 2019 PSU award are expected to be adopted in February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Base Salaries and Target Percentages for Named Executive Officers Adopted</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November 5, 2018, the Compensation Committee of the Board (the “</w:t>
      </w:r>
      <w:r>
        <w:rPr>
          <w:rFonts w:ascii="Arial" w:cs="Arial" w:eastAsia="Arial" w:hAnsi="Arial"/>
          <w:sz w:val="18"/>
          <w:szCs w:val="18"/>
          <w:i w:val="1"/>
          <w:iCs w:val="1"/>
          <w:color w:val="auto"/>
        </w:rPr>
        <w:t>Committee</w:t>
      </w:r>
      <w:r>
        <w:rPr>
          <w:rFonts w:ascii="Arial" w:cs="Arial" w:eastAsia="Arial" w:hAnsi="Arial"/>
          <w:sz w:val="18"/>
          <w:szCs w:val="18"/>
          <w:color w:val="auto"/>
        </w:rPr>
        <w:t>”) set the base salaries and the KOIP Target Percentages for 2019 for each of our named executive officers. Under the KOIP, an executive officer is eligible to receive a cash award calculated by multiplying his annual base salary at the end of the calendar year by a percentage set by the Committee (the “</w:t>
      </w:r>
      <w:r>
        <w:rPr>
          <w:rFonts w:ascii="Arial" w:cs="Arial" w:eastAsia="Arial" w:hAnsi="Arial"/>
          <w:sz w:val="18"/>
          <w:szCs w:val="18"/>
          <w:i w:val="1"/>
          <w:iCs w:val="1"/>
          <w:color w:val="auto"/>
        </w:rPr>
        <w:t>Target Percentage</w:t>
      </w:r>
      <w:r>
        <w:rPr>
          <w:rFonts w:ascii="Arial" w:cs="Arial" w:eastAsia="Arial" w:hAnsi="Arial"/>
          <w:sz w:val="18"/>
          <w:szCs w:val="18"/>
          <w:color w:val="auto"/>
        </w:rPr>
        <w:t>”), then applying an award formula for that calendar year. The 2019 KOIP Award Formula is expected to be adopted by the Committee in February 2019. Below are the 2018 and 2019 base salaries and Target Percentages for our named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2018 Base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2019 Base</w:t>
            </w:r>
          </w:p>
        </w:tc>
        <w:tc>
          <w:tcPr>
            <w:tcW w:w="0" w:type="dxa"/>
            <w:vAlign w:val="bottom"/>
          </w:tcPr>
          <w:p>
            <w:pPr>
              <w:spacing w:after="0"/>
              <w:rPr>
                <w:sz w:val="1"/>
                <w:szCs w:val="1"/>
                <w:color w:val="auto"/>
              </w:rPr>
            </w:pPr>
          </w:p>
        </w:tc>
      </w:tr>
      <w:tr>
        <w:trPr>
          <w:trHeight w:val="158"/>
        </w:trPr>
        <w:tc>
          <w:tcPr>
            <w:tcW w:w="848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CCEEFF"/>
            </w:tcBorders>
            <w:shd w:val="clear" w:color="auto" w:fill="000000"/>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Karl G. Glassman, President and CEO</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1,225,000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w w:val="98"/>
              </w:rPr>
              <w:t>J. Mitchell Dolloff, EVP, President – Specialized Products &amp; Furniture Products, and COO effective 1/1/2019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Flanigan, EVP and CFO</w:t>
            </w:r>
            <w:r>
              <w:rPr>
                <w:rFonts w:ascii="Arial" w:cs="Arial" w:eastAsia="Arial" w:hAnsi="Arial"/>
                <w:sz w:val="15"/>
                <w:szCs w:val="15"/>
                <w:color w:val="auto"/>
              </w:rPr>
              <w:t>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Perry E. Davis, EVP, President – Residential Products &amp; Industrial Products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 Douglas, SVP – General Counsel &amp; Secretary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120" w:hanging="436"/>
        <w:spacing w:after="0" w:line="264"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8"/>
          <w:szCs w:val="18"/>
          <w:color w:val="auto"/>
        </w:rPr>
        <w:t>As previously reported, Mr. Flanigan has announced his intention to retire from the Company, although his actual retirement date has yet to be determined. Once known, the Company will make a subsequent filing disclosing his retirement date. As such, Mr. Flanigan did not receive a base salary adjustment for 2019.</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2018 KOIP</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2019 KOIP</w:t>
            </w:r>
          </w:p>
        </w:tc>
        <w:tc>
          <w:tcPr>
            <w:tcW w:w="0" w:type="dxa"/>
            <w:vAlign w:val="bottom"/>
          </w:tcPr>
          <w:p>
            <w:pPr>
              <w:spacing w:after="0"/>
              <w:rPr>
                <w:sz w:val="1"/>
                <w:szCs w:val="1"/>
                <w:color w:val="auto"/>
              </w:rPr>
            </w:pPr>
          </w:p>
        </w:tc>
      </w:tr>
      <w:tr>
        <w:trPr>
          <w:trHeight w:val="149"/>
        </w:trPr>
        <w:tc>
          <w:tcPr>
            <w:tcW w:w="8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Officers</w:t>
            </w:r>
          </w:p>
        </w:tc>
        <w:tc>
          <w:tcPr>
            <w:tcW w:w="3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Target</w:t>
            </w:r>
          </w:p>
        </w:tc>
        <w:tc>
          <w:tcPr>
            <w:tcW w:w="3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58"/>
        </w:trPr>
        <w:tc>
          <w:tcPr>
            <w:tcW w:w="82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Percentage</w:t>
            </w:r>
          </w:p>
        </w:tc>
        <w:tc>
          <w:tcPr>
            <w:tcW w:w="3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Karl G. Glassman, President and CEO</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w w:val="95"/>
              </w:rPr>
              <w:t>J. Mitchell Dolloff, EVP, President – Specialized Products &amp; Furniture Products, and COO effective 1/1/2019</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Flanigan, EVP and CFO</w:t>
            </w:r>
            <w:r>
              <w:rPr>
                <w:rFonts w:ascii="Arial" w:cs="Arial" w:eastAsia="Arial" w:hAnsi="Arial"/>
                <w:sz w:val="15"/>
                <w:szCs w:val="15"/>
                <w:color w:val="auto"/>
              </w:rPr>
              <w:t>1</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Perry E. Davis, EVP, President – Residential Products &amp; Industrial Products</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 Douglas, SVP – General Counsel &amp; Secretary</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200" w:hanging="436"/>
        <w:spacing w:after="0" w:line="259" w:lineRule="auto"/>
        <w:tabs>
          <w:tab w:leader="none" w:pos="440" w:val="left"/>
        </w:tabs>
        <w:numPr>
          <w:ilvl w:val="0"/>
          <w:numId w:val="3"/>
        </w:numPr>
        <w:rPr>
          <w:rFonts w:ascii="Arial" w:cs="Arial" w:eastAsia="Arial" w:hAnsi="Arial"/>
          <w:sz w:val="15"/>
          <w:szCs w:val="15"/>
          <w:color w:val="auto"/>
        </w:rPr>
      </w:pPr>
      <w:r>
        <w:rPr>
          <w:rFonts w:ascii="Arial" w:cs="Arial" w:eastAsia="Arial" w:hAnsi="Arial"/>
          <w:sz w:val="18"/>
          <w:szCs w:val="18"/>
          <w:color w:val="auto"/>
        </w:rPr>
        <w:t>Because of Mr. Flanigan’s announced retirement, he did not receive an adjustment to his KOIP Target Percentage for 2019. Mr. Flanigan’s 2019 KOIP Award Formula, will not be based on the normal 60% Return on Capital Employed (“</w:t>
      </w:r>
      <w:r>
        <w:rPr>
          <w:rFonts w:ascii="Arial" w:cs="Arial" w:eastAsia="Arial" w:hAnsi="Arial"/>
          <w:sz w:val="18"/>
          <w:szCs w:val="18"/>
          <w:i w:val="1"/>
          <w:iCs w:val="1"/>
          <w:color w:val="auto"/>
        </w:rPr>
        <w:t>ROCE</w:t>
      </w:r>
      <w:r>
        <w:rPr>
          <w:rFonts w:ascii="Arial" w:cs="Arial" w:eastAsia="Arial" w:hAnsi="Arial"/>
          <w:sz w:val="18"/>
          <w:szCs w:val="18"/>
          <w:color w:val="auto"/>
        </w:rPr>
        <w:t>”), 20% Cash Flow and 20% Individual Performance Goals (“</w:t>
      </w:r>
      <w:r>
        <w:rPr>
          <w:rFonts w:ascii="Arial" w:cs="Arial" w:eastAsia="Arial" w:hAnsi="Arial"/>
          <w:sz w:val="18"/>
          <w:szCs w:val="18"/>
          <w:i w:val="1"/>
          <w:iCs w:val="1"/>
          <w:color w:val="auto"/>
        </w:rPr>
        <w:t>IPGs”</w:t>
      </w:r>
      <w:r>
        <w:rPr>
          <w:rFonts w:ascii="Arial" w:cs="Arial" w:eastAsia="Arial" w:hAnsi="Arial"/>
          <w:sz w:val="18"/>
          <w:szCs w:val="18"/>
          <w:color w:val="auto"/>
        </w:rPr>
        <w:t>), but rather is expected to be based on 70% ROCE and 30% Cash Flow, prorated for the number of days prior to his retirement.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Individual Performance Goals Adopted for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2019 KOIP Award Formula is expected to recognize that a portion of each executive’s cash award is based, in part, on IPGs established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KOIP (at a 20% relative weight). As such, on November 5, 2018, the Committee adopted the 2019 IPGs for our named executive officers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2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Named Executive Officers</w:t>
            </w:r>
          </w:p>
        </w:tc>
        <w:tc>
          <w:tcPr>
            <w:tcW w:w="220" w:type="dxa"/>
            <w:vAlign w:val="bottom"/>
            <w:tcBorders>
              <w:bottom w:val="single" w:sz="8" w:color="CCEEFF"/>
            </w:tcBorders>
          </w:tcPr>
          <w:p>
            <w:pPr>
              <w:spacing w:after="0"/>
              <w:rPr>
                <w:sz w:val="16"/>
                <w:szCs w:val="16"/>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IPGs</w:t>
            </w:r>
          </w:p>
        </w:tc>
      </w:tr>
      <w:tr>
        <w:trPr>
          <w:trHeight w:val="195"/>
        </w:trPr>
        <w:tc>
          <w:tcPr>
            <w:tcW w:w="20" w:type="dxa"/>
            <w:vAlign w:val="bottom"/>
          </w:tcPr>
          <w:p>
            <w:pPr>
              <w:spacing w:after="0"/>
              <w:rPr>
                <w:sz w:val="16"/>
                <w:szCs w:val="16"/>
                <w:color w:val="auto"/>
              </w:rPr>
            </w:pPr>
          </w:p>
        </w:tc>
        <w:tc>
          <w:tcPr>
            <w:tcW w:w="5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Karl G. Glassman, President and CEO</w:t>
            </w:r>
          </w:p>
        </w:tc>
        <w:tc>
          <w:tcPr>
            <w:tcW w:w="220" w:type="dxa"/>
            <w:vAlign w:val="bottom"/>
            <w:shd w:val="clear" w:color="auto" w:fill="CCEEFF"/>
          </w:tcPr>
          <w:p>
            <w:pPr>
              <w:spacing w:after="0"/>
              <w:rPr>
                <w:sz w:val="16"/>
                <w:szCs w:val="16"/>
                <w:color w:val="auto"/>
              </w:rPr>
            </w:pPr>
          </w:p>
        </w:tc>
        <w:tc>
          <w:tcPr>
            <w:tcW w:w="5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Acquisition integration, succession planning, CFO onboarding, and</w:t>
            </w: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communications strategy</w:t>
            </w:r>
          </w:p>
        </w:tc>
      </w:tr>
      <w:tr>
        <w:trPr>
          <w:trHeight w:val="202"/>
        </w:trPr>
        <w:tc>
          <w:tcPr>
            <w:tcW w:w="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J. Mitchell Dolloff, EVP, President – Specialized Products &amp; Furniture</w:t>
            </w:r>
          </w:p>
        </w:tc>
        <w:tc>
          <w:tcPr>
            <w:tcW w:w="2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Products, and COO effective 1/1/2019</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Implementation of growth strategy and succession planning</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Matthew C. Flanigan, EVP and CFO</w:t>
            </w:r>
            <w:r>
              <w:rPr>
                <w:rFonts w:ascii="Arial" w:cs="Arial" w:eastAsia="Arial" w:hAnsi="Arial"/>
                <w:sz w:val="15"/>
                <w:szCs w:val="15"/>
                <w:color w:val="auto"/>
              </w:rPr>
              <w:t>1</w:t>
            </w: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2"/>
              </w:rPr>
              <w:t>Perry E. Davis, EVP, President – Residential Products &amp; Industrial Products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Acquisition integration and succession planning</w:t>
            </w: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Scott S. Douglas, SVP – General Counsel &amp; Secretary</w:t>
            </w:r>
          </w:p>
        </w:tc>
        <w:tc>
          <w:tcPr>
            <w:tcW w:w="5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Implementation of growth strategy, succession planning and</w:t>
            </w: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operational initiatives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right="1020" w:firstLine="4"/>
        <w:spacing w:after="0" w:line="498" w:lineRule="auto"/>
        <w:tabs>
          <w:tab w:leader="none" w:pos="432" w:val="left"/>
        </w:tabs>
        <w:numPr>
          <w:ilvl w:val="0"/>
          <w:numId w:val="4"/>
        </w:numPr>
        <w:rPr>
          <w:rFonts w:ascii="Arial" w:cs="Arial" w:eastAsia="Arial" w:hAnsi="Arial"/>
          <w:sz w:val="15"/>
          <w:szCs w:val="15"/>
          <w:color w:val="auto"/>
        </w:rPr>
      </w:pPr>
      <w:r>
        <w:rPr>
          <w:rFonts w:ascii="Arial" w:cs="Arial" w:eastAsia="Arial" w:hAnsi="Arial"/>
          <w:sz w:val="18"/>
          <w:szCs w:val="18"/>
          <w:color w:val="auto"/>
        </w:rPr>
        <w:t>As previously reported, Mr. Flanigan announced his intention to retire from the Company. As such, he did not receive IPGs for 2019. The achievement of the IPGs is measured by the following schedule.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Individual Performance Goals Payout Schedule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(1-5 scale)</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gridSpan w:val="2"/>
          </w:tcPr>
          <w:p>
            <w:pPr>
              <w:ind w:left="1620"/>
              <w:spacing w:after="0"/>
              <w:rPr>
                <w:sz w:val="20"/>
                <w:szCs w:val="20"/>
                <w:color w:val="auto"/>
              </w:rPr>
            </w:pPr>
            <w:r>
              <w:rPr>
                <w:rFonts w:ascii="Arial" w:cs="Arial" w:eastAsia="Arial" w:hAnsi="Arial"/>
                <w:sz w:val="14"/>
                <w:szCs w:val="14"/>
                <w:b w:val="1"/>
                <w:bCs w:val="1"/>
                <w:color w:val="auto"/>
              </w:rPr>
              <w:t>Achievement</w:t>
            </w:r>
          </w:p>
        </w:tc>
        <w:tc>
          <w:tcPr>
            <w:tcW w:w="3920" w:type="dxa"/>
            <w:vAlign w:val="bottom"/>
          </w:tcPr>
          <w:p>
            <w:pPr>
              <w:jc w:val="right"/>
              <w:ind w:right="1653"/>
              <w:spacing w:after="0"/>
              <w:rPr>
                <w:sz w:val="20"/>
                <w:szCs w:val="20"/>
                <w:color w:val="auto"/>
              </w:rPr>
            </w:pPr>
            <w:r>
              <w:rPr>
                <w:rFonts w:ascii="Arial" w:cs="Arial" w:eastAsia="Arial" w:hAnsi="Arial"/>
                <w:sz w:val="14"/>
                <w:szCs w:val="14"/>
                <w:b w:val="1"/>
                <w:bCs w:val="1"/>
                <w:color w:val="auto"/>
              </w:rPr>
              <w:t>Payout</w:t>
            </w: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Did not achieve goal</w:t>
            </w:r>
          </w:p>
        </w:tc>
        <w:tc>
          <w:tcPr>
            <w:tcW w:w="16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 Partially achieved goal</w:t>
            </w:r>
          </w:p>
        </w:tc>
        <w:tc>
          <w:tcPr>
            <w:tcW w:w="392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3</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Substantially achieved goal</w:t>
            </w: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4</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 Fully achieved goal</w:t>
            </w:r>
          </w:p>
        </w:tc>
        <w:tc>
          <w:tcPr>
            <w:tcW w:w="39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5</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Significantly exceeded goal</w:t>
            </w: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 to 150 %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Attached and incorporated by reference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is the Company’s Summary Sheet of Executive Cash Compensation.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53"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Setting of Performance Stock Unit Award Multiples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Except as noted below, it is expected that Performance Stock Units (“</w:t>
      </w:r>
      <w:r>
        <w:rPr>
          <w:rFonts w:ascii="Arial" w:cs="Arial" w:eastAsia="Arial" w:hAnsi="Arial"/>
          <w:sz w:val="18"/>
          <w:szCs w:val="18"/>
          <w:i w:val="1"/>
          <w:iCs w:val="1"/>
          <w:color w:val="auto"/>
        </w:rPr>
        <w:t>PSUs</w:t>
      </w:r>
      <w:r>
        <w:rPr>
          <w:rFonts w:ascii="Arial" w:cs="Arial" w:eastAsia="Arial" w:hAnsi="Arial"/>
          <w:sz w:val="18"/>
          <w:szCs w:val="18"/>
          <w:color w:val="auto"/>
        </w:rPr>
        <w:t>”) will be granted to our named executive officers and other executives of the Company in February 2019. The PSU form of award is expected to be approved by the Committee at that time. The number of PSUs to be granted to each executive is determined by multiplying the executive’s current annual base salary by his or her respective PSU award multiple (set by senior management and approved by the Committee) and dividing this amount by the average closing price of the Company’s common stock for the 10 trading days following the prior year’s fourth quarter earnings release. On November 5, 2018, the Committee set the 2019 PSU award multiples for our named executive officers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Officers</w:t>
            </w:r>
          </w:p>
        </w:tc>
        <w:tc>
          <w:tcPr>
            <w:tcW w:w="13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60" w:type="dxa"/>
            <w:vAlign w:val="bottom"/>
            <w:gridSpan w:val="3"/>
            <w:vMerge w:val="continue"/>
          </w:tcPr>
          <w:p>
            <w:pPr>
              <w:spacing w:after="0"/>
              <w:rPr>
                <w:sz w:val="13"/>
                <w:szCs w:val="13"/>
                <w:color w:val="auto"/>
              </w:rPr>
            </w:pPr>
          </w:p>
        </w:tc>
        <w:tc>
          <w:tcPr>
            <w:tcW w:w="18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8"/>
              </w:rPr>
              <w:t>PSU Multiple</w:t>
            </w:r>
          </w:p>
        </w:tc>
        <w:tc>
          <w:tcPr>
            <w:tcW w:w="140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PSU Multiple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Karl G. Glassman, President and CEO</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w w:val="98"/>
              </w:rPr>
              <w:t>J. Mitchell Dolloff, EVP, President – Specialized Products &amp; Furniture Products, and COO effective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jc w:val="right"/>
              <w:ind w:right="710"/>
              <w:spacing w:after="0"/>
              <w:rPr>
                <w:sz w:val="20"/>
                <w:szCs w:val="20"/>
                <w:color w:val="auto"/>
              </w:rPr>
            </w:pPr>
            <w:r>
              <w:rPr>
                <w:rFonts w:ascii="Arial" w:cs="Arial" w:eastAsia="Arial" w:hAnsi="Arial"/>
                <w:sz w:val="18"/>
                <w:szCs w:val="18"/>
                <w:color w:val="auto"/>
              </w:rPr>
              <w:t>1/1/2019</w:t>
            </w:r>
          </w:p>
        </w:tc>
        <w:tc>
          <w:tcPr>
            <w:tcW w:w="6140" w:type="dxa"/>
            <w:vAlign w:val="bottom"/>
          </w:tcPr>
          <w:p>
            <w:pPr>
              <w:spacing w:after="0"/>
              <w:rPr>
                <w:sz w:val="20"/>
                <w:szCs w:val="20"/>
                <w:color w:val="auto"/>
              </w:rPr>
            </w:pPr>
          </w:p>
        </w:tc>
        <w:tc>
          <w:tcPr>
            <w:tcW w:w="1880" w:type="dxa"/>
            <w:vAlign w:val="bottom"/>
            <w:gridSpan w:val="3"/>
          </w:tcPr>
          <w:p>
            <w:pPr>
              <w:jc w:val="right"/>
              <w:ind w:right="360"/>
              <w:spacing w:after="0"/>
              <w:rPr>
                <w:sz w:val="20"/>
                <w:szCs w:val="20"/>
                <w:color w:val="auto"/>
              </w:rPr>
            </w:pPr>
            <w:r>
              <w:rPr>
                <w:rFonts w:ascii="Arial" w:cs="Arial" w:eastAsia="Arial" w:hAnsi="Arial"/>
                <w:sz w:val="18"/>
                <w:szCs w:val="18"/>
                <w:color w:val="auto"/>
              </w:rPr>
              <w:t>250%</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Flanigan, EVP and CFO</w:t>
            </w:r>
            <w:r>
              <w:rPr>
                <w:rFonts w:ascii="Arial" w:cs="Arial" w:eastAsia="Arial" w:hAnsi="Arial"/>
                <w:sz w:val="15"/>
                <w:szCs w:val="15"/>
                <w:color w:val="auto"/>
              </w:rPr>
              <w:t>1</w:t>
            </w:r>
          </w:p>
        </w:tc>
        <w:tc>
          <w:tcPr>
            <w:tcW w:w="1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Perry E. Davis, EVP, President – Residential Products &amp; Industrial Products</w:t>
            </w:r>
          </w:p>
        </w:tc>
        <w:tc>
          <w:tcPr>
            <w:tcW w:w="1880" w:type="dxa"/>
            <w:vAlign w:val="bottom"/>
            <w:gridSpan w:val="3"/>
          </w:tcPr>
          <w:p>
            <w:pPr>
              <w:jc w:val="right"/>
              <w:ind w:right="360"/>
              <w:spacing w:after="0"/>
              <w:rPr>
                <w:sz w:val="20"/>
                <w:szCs w:val="20"/>
                <w:color w:val="auto"/>
              </w:rPr>
            </w:pPr>
            <w:r>
              <w:rPr>
                <w:rFonts w:ascii="Arial" w:cs="Arial" w:eastAsia="Arial" w:hAnsi="Arial"/>
                <w:sz w:val="18"/>
                <w:szCs w:val="18"/>
                <w:color w:val="auto"/>
              </w:rPr>
              <w:t>250%</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 Douglas, SVP – General Counsel &amp; Secretary</w:t>
            </w:r>
          </w:p>
        </w:tc>
        <w:tc>
          <w:tcPr>
            <w:tcW w:w="1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260" w:hanging="436"/>
        <w:spacing w:after="0" w:line="277" w:lineRule="auto"/>
        <w:tabs>
          <w:tab w:leader="none" w:pos="44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previously reported, Mr. Flanigan announced his intention to retire from the Company. As such, he is not expected to receive a PSU grant in 2019.</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6"/>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400" w:type="dxa"/>
            <w:vAlign w:val="bottom"/>
            <w:gridSpan w:val="3"/>
          </w:tcPr>
          <w:p>
            <w:pPr>
              <w:ind w:left="22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400" w:type="dxa"/>
            <w:vAlign w:val="bottom"/>
            <w:gridSpan w:val="3"/>
            <w:vMerge w:val="restart"/>
          </w:tcPr>
          <w:p>
            <w:pPr>
              <w:ind w:left="1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64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3"/>
                <w:szCs w:val="23"/>
                <w:color w:val="auto"/>
              </w:rPr>
            </w:pPr>
          </w:p>
        </w:tc>
        <w:tc>
          <w:tcPr>
            <w:tcW w:w="3580" w:type="dxa"/>
            <w:vAlign w:val="bottom"/>
            <w:tcBorders>
              <w:bottom w:val="single" w:sz="8" w:color="0000EE"/>
            </w:tcBorders>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 Sheet of Executive Cash Compensation</w:t>
              </w:r>
            </w:hyperlink>
          </w:p>
        </w:tc>
        <w:tc>
          <w:tcPr>
            <w:tcW w:w="64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980" w:type="dxa"/>
            <w:vAlign w:val="bottom"/>
            <w:gridSpan w:val="4"/>
          </w:tcPr>
          <w:p>
            <w:pPr>
              <w:spacing w:after="0"/>
              <w:rPr>
                <w:rFonts w:ascii="Arial" w:cs="Arial" w:eastAsia="Arial" w:hAnsi="Arial"/>
                <w:sz w:val="18"/>
                <w:szCs w:val="18"/>
                <w:color w:val="0000EE"/>
                <w:w w:val="95"/>
              </w:rPr>
            </w:pPr>
            <w:hyperlink r:id="rId24">
              <w:r>
                <w:rPr>
                  <w:rFonts w:ascii="Arial" w:cs="Arial" w:eastAsia="Arial" w:hAnsi="Arial"/>
                  <w:sz w:val="18"/>
                  <w:szCs w:val="18"/>
                  <w:color w:val="0000EE"/>
                  <w:w w:val="95"/>
                </w:rPr>
                <w:t>The Company’s 2014 Key Officers Incentive Plan, effective January 1, 2014, filed March 25, 2014 as Appendix A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Proxy Statement, is incorporated by reference. (SEC File No. 001-07845)</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Denotes filed herewith.</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LEGGETT &amp; PLATT, INCORPORATED</w:t>
      </w:r>
    </w:p>
    <w:p>
      <w:pPr>
        <w:spacing w:after="0" w:line="225" w:lineRule="exact"/>
        <w:rPr>
          <w:sz w:val="20"/>
          <w:szCs w:val="20"/>
          <w:color w:val="auto"/>
        </w:rPr>
      </w:pPr>
    </w:p>
    <w:p>
      <w:pPr>
        <w:spacing w:after="0"/>
        <w:tabs>
          <w:tab w:leader="none" w:pos="5660" w:val="left"/>
          <w:tab w:leader="none" w:pos="758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S. DOUGLAS</w:t>
      </w:r>
    </w:p>
    <w:p>
      <w:pPr>
        <w:spacing w:after="0" w:line="2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Scott S.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Senior Vice President –</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General Counsel &amp; Secretary</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440" w:top="270" w:right="739" w:bottom="1440" w:gutter="0" w:footer="0" w:header="0"/>
        </w:sectPr>
      </w:pPr>
    </w:p>
    <w:bookmarkStart w:id="5" w:name="page6"/>
    <w:bookmarkEnd w:id="5"/>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SHEET OF EXECUTIVE CASH COMPENSATION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This Summary Sheet is being updated to reflect the adoption by the Company’s Compensation Committee (the “</w:t>
      </w:r>
      <w:r>
        <w:rPr>
          <w:rFonts w:ascii="Arial" w:cs="Arial" w:eastAsia="Arial" w:hAnsi="Arial"/>
          <w:sz w:val="16"/>
          <w:szCs w:val="16"/>
          <w:i w:val="1"/>
          <w:iCs w:val="1"/>
          <w:color w:val="auto"/>
        </w:rPr>
        <w:t>Committee</w:t>
      </w:r>
      <w:r>
        <w:rPr>
          <w:rFonts w:ascii="Arial" w:cs="Arial" w:eastAsia="Arial" w:hAnsi="Arial"/>
          <w:sz w:val="16"/>
          <w:szCs w:val="16"/>
          <w:color w:val="auto"/>
        </w:rPr>
        <w:t>”), on November 5, 2018, of the 2019 annual base salaries and target percentages (“</w:t>
      </w:r>
      <w:r>
        <w:rPr>
          <w:rFonts w:ascii="Arial" w:cs="Arial" w:eastAsia="Arial" w:hAnsi="Arial"/>
          <w:sz w:val="16"/>
          <w:szCs w:val="16"/>
          <w:i w:val="1"/>
          <w:iCs w:val="1"/>
          <w:color w:val="auto"/>
        </w:rPr>
        <w:t>Target Percentages</w:t>
      </w:r>
      <w:r>
        <w:rPr>
          <w:rFonts w:ascii="Arial" w:cs="Arial" w:eastAsia="Arial" w:hAnsi="Arial"/>
          <w:sz w:val="16"/>
          <w:szCs w:val="16"/>
          <w:color w:val="auto"/>
        </w:rPr>
        <w:t>”) under the 2014 Key Officers Incentive Plan (“</w:t>
      </w:r>
      <w:r>
        <w:rPr>
          <w:rFonts w:ascii="Arial" w:cs="Arial" w:eastAsia="Arial" w:hAnsi="Arial"/>
          <w:sz w:val="16"/>
          <w:szCs w:val="16"/>
          <w:i w:val="1"/>
          <w:iCs w:val="1"/>
          <w:color w:val="auto"/>
        </w:rPr>
        <w:t>KOIP</w:t>
      </w:r>
      <w:r>
        <w:rPr>
          <w:rFonts w:ascii="Arial" w:cs="Arial" w:eastAsia="Arial" w:hAnsi="Arial"/>
          <w:sz w:val="16"/>
          <w:szCs w:val="16"/>
          <w:color w:val="auto"/>
        </w:rPr>
        <w:t>”), and individual performance goals (“</w:t>
      </w:r>
      <w:r>
        <w:rPr>
          <w:rFonts w:ascii="Arial" w:cs="Arial" w:eastAsia="Arial" w:hAnsi="Arial"/>
          <w:sz w:val="16"/>
          <w:szCs w:val="16"/>
          <w:i w:val="1"/>
          <w:iCs w:val="1"/>
          <w:color w:val="auto"/>
        </w:rPr>
        <w:t>IPGs</w:t>
      </w:r>
      <w:r>
        <w:rPr>
          <w:rFonts w:ascii="Arial" w:cs="Arial" w:eastAsia="Arial" w:hAnsi="Arial"/>
          <w:sz w:val="16"/>
          <w:szCs w:val="16"/>
          <w:color w:val="auto"/>
        </w:rPr>
        <w:t>”) provided to the Company’s principal executive officer, principal financial officer and other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2018 Base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2019 Base</w:t>
            </w:r>
          </w:p>
        </w:tc>
        <w:tc>
          <w:tcPr>
            <w:tcW w:w="0" w:type="dxa"/>
            <w:vAlign w:val="bottom"/>
          </w:tcPr>
          <w:p>
            <w:pPr>
              <w:spacing w:after="0"/>
              <w:rPr>
                <w:sz w:val="1"/>
                <w:szCs w:val="1"/>
                <w:color w:val="auto"/>
              </w:rPr>
            </w:pPr>
          </w:p>
        </w:tc>
      </w:tr>
      <w:tr>
        <w:trPr>
          <w:trHeight w:val="158"/>
        </w:trPr>
        <w:tc>
          <w:tcPr>
            <w:tcW w:w="848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CCEEFF"/>
            </w:tcBorders>
            <w:shd w:val="clear" w:color="auto" w:fill="000000"/>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Karl G. Glassman, President and CEO</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1,225,000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w w:val="98"/>
              </w:rPr>
              <w:t>J. Mitchell Dolloff, EVP, President – Specialized Products &amp; Furniture Products, and COO effective 1/1/2019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Flanigan, EVP and CFO</w:t>
            </w:r>
            <w:r>
              <w:rPr>
                <w:rFonts w:ascii="Arial" w:cs="Arial" w:eastAsia="Arial" w:hAnsi="Arial"/>
                <w:sz w:val="15"/>
                <w:szCs w:val="15"/>
                <w:color w:val="auto"/>
              </w:rPr>
              <w:t>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Perry E. Davis, EVP, President – Residential Products &amp; Industrial Products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 Douglas, SVP – General Counsel &amp; Secretary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120" w:hanging="436"/>
        <w:spacing w:after="0" w:line="264"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previously reported, Mr. Flanigan has announced his intention to retire from the Company, although his actual retirement date has yet to be determined. Once known, the Company will make a subsequent filing disclosing his retirement date. As such, Mr. Flanigan did not receive a base salary adjustment for 2019.</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noted below, the named executive officers will be eligible to receive an annual cash incentive under the KOIP (filed March 25, 2014 as Appendix A to the Company’s Proxy Statement) in accordance with the 2019 KOIP Award Formula (which is expected to be adopted in February 2019). Each executive’s cash award is expected to be calculated by multiplying his annual base salary at the end of the KOIP plan year by a percentage set by the Committee (the “</w:t>
      </w:r>
      <w:r>
        <w:rPr>
          <w:rFonts w:ascii="Arial" w:cs="Arial" w:eastAsia="Arial" w:hAnsi="Arial"/>
          <w:sz w:val="17"/>
          <w:szCs w:val="17"/>
          <w:i w:val="1"/>
          <w:iCs w:val="1"/>
          <w:color w:val="auto"/>
        </w:rPr>
        <w:t>Target Percentage</w:t>
      </w:r>
      <w:r>
        <w:rPr>
          <w:rFonts w:ascii="Arial" w:cs="Arial" w:eastAsia="Arial" w:hAnsi="Arial"/>
          <w:sz w:val="17"/>
          <w:szCs w:val="17"/>
          <w:color w:val="auto"/>
        </w:rPr>
        <w:t>”), then applying the award formula adopted by the Committee for that year. As previously reported, the Target Percentages in 2018, and as adopted for 2019 by the Committee on November 5, 2018, for the principal executive officer, principal financial officer, and other named executive officers are shown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2018 KOIP</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2019 KOIP</w:t>
            </w:r>
          </w:p>
        </w:tc>
        <w:tc>
          <w:tcPr>
            <w:tcW w:w="0" w:type="dxa"/>
            <w:vAlign w:val="bottom"/>
          </w:tcPr>
          <w:p>
            <w:pPr>
              <w:spacing w:after="0"/>
              <w:rPr>
                <w:sz w:val="1"/>
                <w:szCs w:val="1"/>
                <w:color w:val="auto"/>
              </w:rPr>
            </w:pPr>
          </w:p>
        </w:tc>
      </w:tr>
      <w:tr>
        <w:trPr>
          <w:trHeight w:val="149"/>
        </w:trPr>
        <w:tc>
          <w:tcPr>
            <w:tcW w:w="8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Officers</w:t>
            </w:r>
          </w:p>
        </w:tc>
        <w:tc>
          <w:tcPr>
            <w:tcW w:w="3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Target</w:t>
            </w:r>
          </w:p>
        </w:tc>
        <w:tc>
          <w:tcPr>
            <w:tcW w:w="3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58"/>
        </w:trPr>
        <w:tc>
          <w:tcPr>
            <w:tcW w:w="82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Percentage</w:t>
            </w:r>
          </w:p>
        </w:tc>
        <w:tc>
          <w:tcPr>
            <w:tcW w:w="3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Karl G. Glassman, President and CEO</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w w:val="95"/>
              </w:rPr>
              <w:t>J. Mitchell Dolloff, EVP, President – Specialized Products &amp; Furniture Products, and COO effective 1/1/2019</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Flanigan, EVP and CFO</w:t>
            </w:r>
            <w:r>
              <w:rPr>
                <w:rFonts w:ascii="Arial" w:cs="Arial" w:eastAsia="Arial" w:hAnsi="Arial"/>
                <w:sz w:val="15"/>
                <w:szCs w:val="15"/>
                <w:color w:val="auto"/>
              </w:rPr>
              <w:t>1</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Perry E. Davis, EVP, President – Residential Products &amp; Industrial Products</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 Douglas, SVP – General Counsel &amp; Secretary</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440" w:right="220" w:hanging="436"/>
        <w:spacing w:after="0" w:line="259" w:lineRule="auto"/>
        <w:tabs>
          <w:tab w:leader="none" w:pos="440" w:val="left"/>
        </w:tabs>
        <w:numPr>
          <w:ilvl w:val="0"/>
          <w:numId w:val="8"/>
        </w:numPr>
        <w:rPr>
          <w:rFonts w:ascii="Arial" w:cs="Arial" w:eastAsia="Arial" w:hAnsi="Arial"/>
          <w:sz w:val="15"/>
          <w:szCs w:val="15"/>
          <w:color w:val="auto"/>
        </w:rPr>
      </w:pPr>
      <w:r>
        <w:rPr>
          <w:rFonts w:ascii="Arial" w:cs="Arial" w:eastAsia="Arial" w:hAnsi="Arial"/>
          <w:sz w:val="18"/>
          <w:szCs w:val="18"/>
          <w:color w:val="auto"/>
        </w:rPr>
        <w:t>Because of Mr. Flanigan’s announced retirement, he did not receive an adjustment to his KOIP Target Percentage for 2019. Mr. Flanigan’s 2019 KOIP Award Formula, will not be based on the normal 60% Return on Capital Employed (“</w:t>
      </w:r>
      <w:r>
        <w:rPr>
          <w:rFonts w:ascii="Arial" w:cs="Arial" w:eastAsia="Arial" w:hAnsi="Arial"/>
          <w:sz w:val="18"/>
          <w:szCs w:val="18"/>
          <w:i w:val="1"/>
          <w:iCs w:val="1"/>
          <w:color w:val="auto"/>
        </w:rPr>
        <w:t>ROCE</w:t>
      </w:r>
      <w:r>
        <w:rPr>
          <w:rFonts w:ascii="Arial" w:cs="Arial" w:eastAsia="Arial" w:hAnsi="Arial"/>
          <w:sz w:val="18"/>
          <w:szCs w:val="18"/>
          <w:color w:val="auto"/>
        </w:rPr>
        <w:t>”), 20% Cash Flow and 20% Individual Performance Goals (“</w:t>
      </w:r>
      <w:r>
        <w:rPr>
          <w:rFonts w:ascii="Arial" w:cs="Arial" w:eastAsia="Arial" w:hAnsi="Arial"/>
          <w:sz w:val="18"/>
          <w:szCs w:val="18"/>
          <w:i w:val="1"/>
          <w:iCs w:val="1"/>
          <w:color w:val="auto"/>
        </w:rPr>
        <w:t>IPGs</w:t>
      </w:r>
      <w:r>
        <w:rPr>
          <w:rFonts w:ascii="Arial" w:cs="Arial" w:eastAsia="Arial" w:hAnsi="Arial"/>
          <w:sz w:val="18"/>
          <w:szCs w:val="18"/>
          <w:color w:val="auto"/>
        </w:rPr>
        <w:t>”), but rather is expected to be based on 70% ROCE and 30% Cash Flow, prorated for the number of days prior to his retirement.</w:t>
      </w:r>
    </w:p>
    <w:p>
      <w:pPr>
        <w:sectPr>
          <w:pgSz w:w="11900" w:h="16838" w:orient="portrait"/>
          <w:cols w:equalWidth="0" w:num="1">
            <w:col w:w="11040"/>
          </w:cols>
          <w:pgMar w:left="440" w:top="121" w:right="419" w:bottom="1440" w:gutter="0" w:footer="0" w:header="0"/>
        </w:sectPr>
      </w:pPr>
    </w:p>
    <w:bookmarkStart w:id="6" w:name="page7"/>
    <w:bookmarkEnd w:id="6"/>
    <w:p>
      <w:pPr>
        <w:ind w:right="20"/>
        <w:spacing w:after="0" w:line="314"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Performance Goals</w:t>
      </w:r>
      <w:r>
        <w:rPr>
          <w:rFonts w:ascii="Arial" w:cs="Arial" w:eastAsia="Arial" w:hAnsi="Arial"/>
          <w:sz w:val="16"/>
          <w:szCs w:val="16"/>
          <w:color w:val="auto"/>
        </w:rPr>
        <w:t>. On November 5, 2018, the Committee adopted IPGs for our named executive officers. The 2018 KOIP Award Formula</w:t>
      </w:r>
      <w:r>
        <w:rPr>
          <w:rFonts w:ascii="Arial" w:cs="Arial" w:eastAsia="Arial" w:hAnsi="Arial"/>
          <w:sz w:val="16"/>
          <w:szCs w:val="16"/>
          <w:b w:val="1"/>
          <w:bCs w:val="1"/>
          <w:color w:val="auto"/>
        </w:rPr>
        <w:t xml:space="preserve"> </w:t>
      </w:r>
      <w:r>
        <w:rPr>
          <w:rFonts w:ascii="Arial" w:cs="Arial" w:eastAsia="Arial" w:hAnsi="Arial"/>
          <w:sz w:val="16"/>
          <w:szCs w:val="16"/>
          <w:color w:val="auto"/>
        </w:rPr>
        <w:t>does, and, except as noted below, the 2019 KOIP Award Formula is expected to, recognize that 20% of each executive’s cash award in 2018 and 2019, respectively, under our KOIP will be based on the achievement of the IPGs. The IPGs for our named executive officers in 2018 and 2019 are:</w:t>
      </w:r>
    </w:p>
    <w:p>
      <w:pPr>
        <w:sectPr>
          <w:pgSz w:w="11900" w:h="16838" w:orient="portrait"/>
          <w:cols w:equalWidth="0" w:num="1">
            <w:col w:w="11040"/>
          </w:cols>
          <w:pgMar w:left="440" w:top="270" w:right="419" w:bottom="1440" w:gutter="0" w:footer="0" w:header="0"/>
        </w:sectPr>
      </w:pP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Named Executive Officers</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2018 IPGs</w:t>
            </w:r>
          </w:p>
        </w:tc>
      </w:tr>
      <w:tr>
        <w:trPr>
          <w:trHeight w:val="195"/>
        </w:trPr>
        <w:tc>
          <w:tcPr>
            <w:tcW w:w="20" w:type="dxa"/>
            <w:vAlign w:val="bottom"/>
          </w:tcPr>
          <w:p>
            <w:pPr>
              <w:spacing w:after="0"/>
              <w:rPr>
                <w:sz w:val="16"/>
                <w:szCs w:val="16"/>
                <w:color w:val="auto"/>
              </w:rPr>
            </w:pP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Karl G. Glassman</w:t>
            </w: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Implementation of growth strategy and</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President and CEO</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succession planning</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 Mitchell Dolloff</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w w:val="95"/>
              </w:rPr>
              <w:t>Implementation of growth strategy, succession</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w w:val="95"/>
              </w:rPr>
              <w:t>EVP, President – Specialized Products &amp; Furniture</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planning and efficiency initiatives</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Products, and COO effective 1/1/2019</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Matthew C. Flanigan</w:t>
            </w:r>
            <w:r>
              <w:rPr>
                <w:rFonts w:ascii="Arial" w:cs="Arial" w:eastAsia="Arial" w:hAnsi="Arial"/>
                <w:sz w:val="15"/>
                <w:szCs w:val="15"/>
                <w:color w:val="auto"/>
              </w:rPr>
              <w:t>1</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w w:val="95"/>
              </w:rPr>
              <w:t>Implementation of growth strategy, succession</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EVP and CFO</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planning and financial partner initiatives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Perry E. Davis</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Supply chain and growth initiatives and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EVP, President – Residential</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succession planning</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Products &amp; Industrial Products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699770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997700" cy="2832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-1405890</wp:posOffset>
            </wp:positionV>
            <wp:extent cx="699770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99770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 IPGs</w:t>
      </w:r>
    </w:p>
    <w:p>
      <w:pPr>
        <w:spacing w:after="0" w:line="25"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Acquisition integration, succession planning, CFO onboarding and communications strategy Implementation of growth strategy and succession planning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Acquisition integration and succession planning</w:t>
      </w:r>
    </w:p>
    <w:p>
      <w:pPr>
        <w:spacing w:after="0" w:line="192" w:lineRule="exact"/>
        <w:rPr>
          <w:sz w:val="20"/>
          <w:szCs w:val="20"/>
          <w:color w:val="auto"/>
        </w:rPr>
      </w:pPr>
    </w:p>
    <w:p>
      <w:pPr>
        <w:sectPr>
          <w:pgSz w:w="11900" w:h="16838" w:orient="portrait"/>
          <w:cols w:equalWidth="0" w:num="2">
            <w:col w:w="7520" w:space="100"/>
            <w:col w:w="3420"/>
          </w:cols>
          <w:pgMar w:left="440" w:top="270"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Scott S. Douglas</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Implementation of growth strategy and</w:t>
            </w: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Implementation of growth strategy, succession</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SVP – General Counsel &amp;</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succession planning</w:t>
            </w: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planning and operational initiatives</w:t>
            </w:r>
          </w:p>
        </w:tc>
      </w:tr>
      <w:tr>
        <w:trPr>
          <w:trHeight w:val="244"/>
        </w:trPr>
        <w:tc>
          <w:tcPr>
            <w:tcW w:w="20" w:type="dxa"/>
            <w:vAlign w:val="bottom"/>
          </w:tcPr>
          <w:p>
            <w:pPr>
              <w:spacing w:after="0"/>
              <w:rPr>
                <w:sz w:val="21"/>
                <w:szCs w:val="21"/>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Secretary</w:t>
            </w:r>
          </w:p>
        </w:tc>
        <w:tc>
          <w:tcPr>
            <w:tcW w:w="426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360" w:hanging="436"/>
        <w:spacing w:after="0" w:line="264"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8"/>
          <w:szCs w:val="18"/>
          <w:color w:val="auto"/>
        </w:rPr>
        <w:t>As previously reported, Mr. Flanigan has announced his intention to retire from the Company, although his actual retirement date has yet to be determined. Once known, the Company will make a subsequent filing disclosing his retirement date. Because of Mr. Flanigan’s announced retirement, he did not receive IPGs for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achievement of the IPGs is measured by the following schedule.</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38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0"/>
              </w:rPr>
              <w:t>Individual Performance Goals Payout Schedule</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38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88"/>
              </w:rPr>
              <w:t>(1-5 scale)</w:t>
            </w:r>
          </w:p>
        </w:tc>
        <w:tc>
          <w:tcPr>
            <w:tcW w:w="0" w:type="dxa"/>
            <w:vAlign w:val="bottom"/>
          </w:tcPr>
          <w:p>
            <w:pPr>
              <w:spacing w:after="0"/>
              <w:rPr>
                <w:sz w:val="1"/>
                <w:szCs w:val="1"/>
                <w:color w:val="auto"/>
              </w:rPr>
            </w:pPr>
          </w:p>
        </w:tc>
      </w:tr>
      <w:tr>
        <w:trPr>
          <w:trHeight w:val="392"/>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Achievement</w:t>
            </w:r>
          </w:p>
        </w:tc>
        <w:tc>
          <w:tcPr>
            <w:tcW w:w="16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
        </w:trPr>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1</w:t>
            </w:r>
          </w:p>
        </w:tc>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Did not achieve goal</w:t>
            </w:r>
          </w:p>
        </w:tc>
        <w:tc>
          <w:tcPr>
            <w:tcW w:w="54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vMerge w:val="continue"/>
            <w:shd w:val="clear" w:color="auto" w:fill="CCEEFF"/>
          </w:tcPr>
          <w:p>
            <w:pPr>
              <w:spacing w:after="0"/>
              <w:rPr>
                <w:sz w:val="17"/>
                <w:szCs w:val="17"/>
                <w:color w:val="auto"/>
              </w:rPr>
            </w:pPr>
          </w:p>
        </w:tc>
        <w:tc>
          <w:tcPr>
            <w:tcW w:w="2320" w:type="dxa"/>
            <w:vAlign w:val="bottom"/>
            <w:gridSpan w:val="2"/>
            <w:vMerge w:val="continue"/>
            <w:shd w:val="clear" w:color="auto" w:fill="CCEEFF"/>
          </w:tcPr>
          <w:p>
            <w:pPr>
              <w:spacing w:after="0"/>
              <w:rPr>
                <w:sz w:val="17"/>
                <w:szCs w:val="17"/>
                <w:color w:val="auto"/>
              </w:rPr>
            </w:pPr>
          </w:p>
        </w:tc>
        <w:tc>
          <w:tcPr>
            <w:tcW w:w="54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2</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 Partially achieved goal</w:t>
            </w:r>
          </w:p>
        </w:tc>
        <w:tc>
          <w:tcPr>
            <w:tcW w:w="63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3</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Substantially achieved goal</w:t>
            </w:r>
          </w:p>
        </w:tc>
        <w:tc>
          <w:tcPr>
            <w:tcW w:w="6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 Fully achieved goal</w:t>
            </w:r>
          </w:p>
        </w:tc>
        <w:tc>
          <w:tcPr>
            <w:tcW w:w="63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5</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Significantly exceeded goal</w:t>
            </w:r>
          </w:p>
        </w:tc>
        <w:tc>
          <w:tcPr>
            <w:tcW w:w="5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up to 150%</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40" w:type="dxa"/>
            <w:vAlign w:val="bottom"/>
          </w:tcPr>
          <w:p>
            <w:pPr>
              <w:jc w:val="center"/>
              <w:ind w:right="1410"/>
              <w:spacing w:after="0"/>
              <w:rPr>
                <w:sz w:val="20"/>
                <w:szCs w:val="20"/>
                <w:color w:val="auto"/>
              </w:rPr>
            </w:pPr>
            <w:r>
              <w:rPr>
                <w:rFonts w:ascii="Arial" w:cs="Arial" w:eastAsia="Arial" w:hAnsi="Arial"/>
                <w:sz w:val="18"/>
                <w:szCs w:val="18"/>
                <w:color w:val="auto"/>
                <w:w w:val="99"/>
              </w:rPr>
              <w:t>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24" Type="http://schemas.openxmlformats.org/officeDocument/2006/relationships/hyperlink" Target="http://www.sec.gov/Archives/edgar/data/58492/000157104914000922/t1400426_def14a.htm#def14_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2019-12-28T18:06:37Z</dcterms:created>
  <dcterms:modified xsi:type="dcterms:W3CDTF">2019-12-28T18:06:37Z</dcterms:modified>
</cp:coreProperties>
</file>