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SOMNIGROUP INTERNATIONAL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867" w:right="339" w:bottom="1440" w:gutter="0" w:footer="0" w:header="0"/>
        </w:sectPr>
      </w:pPr>
    </w:p>
    <w:p>
      <w:pPr>
        <w:spacing w:after="0" w:line="2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001-31922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33-1022198</w:t>
      </w:r>
    </w:p>
    <w:p>
      <w:pPr>
        <w:spacing w:after="0" w:line="31" w:lineRule="exact"/>
        <w:rPr>
          <w:sz w:val="24"/>
          <w:szCs w:val="24"/>
          <w:color w:val="auto"/>
        </w:rPr>
      </w:pPr>
    </w:p>
    <w:p>
      <w:pPr>
        <w:sectPr>
          <w:pgSz w:w="11900" w:h="16838" w:orient="portrait"/>
          <w:cols w:equalWidth="0" w:num="3">
            <w:col w:w="4500" w:space="720"/>
            <w:col w:w="2980" w:space="720"/>
            <w:col w:w="2320"/>
          </w:cols>
          <w:pgMar w:left="320" w:top="867"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80" w:space="720"/>
            <w:col w:w="2740" w:space="720"/>
            <w:col w:w="3180"/>
          </w:cols>
          <w:pgMar w:left="320" w:top="867" w:right="339" w:bottom="1440" w:gutter="0" w:footer="0" w:header="0"/>
          <w:type w:val="continuous"/>
        </w:sectPr>
      </w:pPr>
    </w:p>
    <w:p>
      <w:pPr>
        <w:spacing w:after="0" w:line="3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 Crescent Ct. Suite 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878-8889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867"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1260" w:hanging="600"/>
        <w:spacing w:after="0"/>
        <w:tabs>
          <w:tab w:leader="none" w:pos="1260"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sz w:val="24"/>
          <w:szCs w:val="24"/>
          <w:color w:val="auto"/>
        </w:rPr>
      </w:pPr>
    </w:p>
    <w:p>
      <w:pPr>
        <w:ind w:left="1260" w:hanging="600"/>
        <w:spacing w:after="0"/>
        <w:tabs>
          <w:tab w:leader="none" w:pos="12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1260" w:hanging="600"/>
        <w:spacing w:after="0"/>
        <w:tabs>
          <w:tab w:leader="none" w:pos="12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1260" w:hanging="600"/>
        <w:spacing w:after="0"/>
        <w:tabs>
          <w:tab w:leader="none" w:pos="12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867" w:right="339" w:bottom="1440" w:gutter="0" w:footer="0" w:header="0"/>
          <w:type w:val="continuous"/>
        </w:sectPr>
      </w:pPr>
    </w:p>
    <w:p>
      <w:pPr>
        <w:spacing w:after="0" w:line="10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42" w:lineRule="exact"/>
        <w:rPr>
          <w:sz w:val="24"/>
          <w:szCs w:val="24"/>
          <w:color w:val="auto"/>
        </w:rPr>
      </w:pPr>
    </w:p>
    <w:p>
      <w:pPr>
        <w:sectPr>
          <w:pgSz w:w="11900" w:h="16838" w:orient="portrait"/>
          <w:cols w:equalWidth="0" w:num="3">
            <w:col w:w="4120" w:space="720"/>
            <w:col w:w="2280" w:space="720"/>
            <w:col w:w="3400"/>
          </w:cols>
          <w:pgMar w:left="320" w:top="86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7"/>
          <w:szCs w:val="17"/>
          <w:color w:val="auto"/>
        </w:rPr>
        <w:t>SGI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700" w:space="720"/>
            <w:col w:w="2200" w:space="720"/>
            <w:col w:w="2900"/>
          </w:cols>
          <w:pgMar w:left="320" w:top="867" w:right="339" w:bottom="1440" w:gutter="0" w:footer="0" w:header="0"/>
          <w:type w:val="continuous"/>
        </w:sectPr>
      </w:pPr>
    </w:p>
    <w:p>
      <w:pPr>
        <w:spacing w:after="0" w:line="14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333333"/>
        </w:rPr>
        <w:t>☐</w:t>
      </w:r>
    </w:p>
    <w:p>
      <w:pPr>
        <w:spacing w:after="0" w:line="266"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ectPr>
          <w:pgSz w:w="11900" w:h="16838" w:orient="portrait"/>
          <w:cols w:equalWidth="0" w:num="1">
            <w:col w:w="11240"/>
          </w:cols>
          <w:pgMar w:left="320" w:top="867" w:right="339" w:bottom="1440" w:gutter="0" w:footer="0" w:header="0"/>
          <w:type w:val="continuous"/>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announced, on April 13, 2026, Somnigroup International Inc. ("Somnigroup") entered into an Agreement and Plan of Merger (the "Merger Agreement") with Leggett &amp; Platt, Incorporated ("Leggett &amp; Platt") and Sparrow Unity Corporation, a direct, wholly owned subsidiary of Somnigroup ("Merger Sub"), pursuant to which, subject to the terms and conditions of the Merger Agreement, Merger Sub will merge with and into Leggett &amp; Platt (the "Merger"), with Leggett &amp; Platt surviving the Merger as a direct wholly owned subsidiary of Somnigroup.</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2026, Somnigroup confirmed that the required 30-day waiting period under the Hart-Scott-Rodino Antitrust Improvements Act of 1976 (the "HSR Act"), as amended, expired on June 3, 2026, at 11:59 p.m., Eastern Time.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Somnigroup expects the transaction to close by year-end 2026, subject to the fulfillment or waiver of certain conditions, including, among others, (i) the adoption of the Merger Agreement and approval of the Merger by the shareholders of Leggett &amp; Platt, (ii) the receipt of all clearances, consents and approvals under certain specified competition laws in Canada, the European Union, the United Kingdom, and the Republic of Korea, as well as under applicable foreign investment laws in Austria; (iii) the effectiveness of a registration statement on Form S-4 to be filed by Somnigroup with the Securities and Exchange Commission ("SEC") and the absence of any stop order or pending proceeding with respect thereto; and (vi) the absence of any material adverse effect with respect to Somnigroup and Leggett &amp; Platt since the date of the Merger Agreement.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 except as shall be expressly set forth by specific reference in any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including the information incorporated by reference herein, contains statements that may be characterized as "forward-looking" within the meaning of the federal securities laws. Such statements might include information concerning one or more of Somnigroup's and Leggett &amp; Platt's plans, guidance, objectives, goals, strategies and other information that is not historical information. When used in this Current Report, the words "will," "targets," "expects," "anticipates," "plans," "proposed," "intends," "outlook" and variations of such words or similar expressions are intended to identify forward-looking statements. These forward-looking statements include, without limitation, statements relating to Somnigroup's expectations regarding the impact of the proposed transaction on Somnigroup's brands, products, customer base, results of operations, or financial position, its share repurchases, adjusted EPS, net leverage, operating cash flow, net income, future performance, cost and run-rate synergies, funding sources, expected capital structure, the financial impact of Leggett &amp; Platt's existing long-term debt, ability to deleverage after the proposed transaction, the expected timing and likelihood of completion of the proposed transaction, the integration of Leggett &amp; Platt with Somnigroup's business and personnel and Somnigroup's and Leggett &amp; Platt's post-acquisition financial reporting. Any forward-looking statements contained herein are based upon current expectations and beliefs and various assumptions. There can be no assurance that these expectations or beliefs will prove correct.</w:t>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Numerous factors, many of which are beyond Somnigroup's and Leggett &amp; Platt's control, could cause actual results to differ materially from any that may be expressed herein as forward-looking statements. These potential risks include risks associated with Leggett &amp; Platt's ongoing operations; the ability to obtain the requisite Leggett &amp; Platt shareholder approval; the risk that Somnigroup or Leggett &amp; Platt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of delays in completing the proposed transaction; the ability to successfully integrate Leggett &amp; Platt into Somnigroup's operations and realize synergies from the proposed transaction and the expected run-rate of such synergies; the possibility that the expected benefits of the acquisition are not realized when expected or at all; the risk that any announcement relating to the proposed transaction could have adverse effects on the market price of Somnigroup common stock or Leggett &amp; Platt common stock; the risk of litigation related to the proposed transaction;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general economic, financial and industry conditions, particularly conditions relating to the financial performance and related credit issues present in the retail sector, as well as consumer confidence and the availability of consumer financing; the impact of the macroeconomic environment in both the U.S. and internationally on Somnigroup and Leggett &amp; Platt; uncertainties arising from national and global events; industry competition; the effects of consolidation of retailers on revenues and costs; consumer acceptance and changes in demand for Somnigroup's and Leggett &amp; Platt's products; and other risks inherent in Somnigroup's and Leggett &amp; Platt's businesses.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such factors are difficult to predict, are beyond Somnigroup's and Leggett &amp; Platt's control and are subject to additional risks and uncertainties, including those detailed in Somnigroup's annual report on Form 10-K for the year ended December 31, 2025 and those detailed in Leggett &amp; Platt's annual report on Form 10-K for the year ended December 31, 2025 and Quarterly Report on Form 10-Q for the quarter ended March 31, 2026. These risks, as well as other risks related to the proposed transaction, will be included in the Form S-4 and proxy statement/prospectus (as defined below) that Somnigroup and Leggett &amp; Platt intend to file with the SEC in connection with the proposed transaction. There may be other factors that may cause Somnigroup's and Leggett &amp; Platt's actual results to differ materially from the forward-looking statements. Neither Somnigroup nor Leggett &amp; Platt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transaction, Somnigroup intends to file with the SEC a registration statement on Form S-4 that will include a proxy statement of Leggett &amp; Platt and that will also constitute a prospectus of Somnigroup with respect to the shares of Somnigroup common stock to be issued in the proposed transaction (the "proxy statement/prospectus"). The definitive proxy statement/prospectus (if and when available) will be filed with the SEC by, and mailed to shareholders of, Leggett &amp; Platt. Each of Somnigroup and Leggett &amp; Platt may also file other relevant documents with the SEC regarding the proposed transaction.</w:t>
      </w:r>
    </w:p>
    <w:p>
      <w:pPr>
        <w:sectPr>
          <w:pgSz w:w="11900" w:h="16838" w:orient="portrait"/>
          <w:cols w:equalWidth="0" w:num="1">
            <w:col w:w="11240"/>
          </w:cols>
          <w:pgMar w:left="320" w:top="769" w:right="339" w:bottom="1440" w:gutter="0" w:footer="0" w:header="0"/>
        </w:sectPr>
      </w:pPr>
    </w:p>
    <w:bookmarkStart w:id="3" w:name="page4"/>
    <w:bookmarkEnd w:id="3"/>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is not a substitute for the Form S-4, the proxy statement/prospectus or any other document that Somnigroup or Leggett &amp; Platt may file with the SEC in connection with the proposed transaction. INVESTORS AND SECURITY HOLDERS OF SOMNIGROUP AND LEGGETT &amp;</w:t>
      </w:r>
    </w:p>
    <w:p>
      <w:pPr>
        <w:jc w:val="both"/>
        <w:spacing w:after="0" w:line="251" w:lineRule="auto"/>
        <w:rPr>
          <w:sz w:val="20"/>
          <w:szCs w:val="20"/>
          <w:color w:val="auto"/>
        </w:rPr>
      </w:pPr>
      <w:r>
        <w:rPr>
          <w:rFonts w:ascii="Times New Roman" w:cs="Times New Roman" w:eastAsia="Times New Roman" w:hAnsi="Times New Roman"/>
          <w:sz w:val="18"/>
          <w:szCs w:val="18"/>
          <w:color w:val="auto"/>
        </w:rPr>
        <w:t>PLATT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Somnigroup and Leggett &amp; Platt, free of charge on the SEC's website at www.sec.gov. Copies of the documents filed with, or furnished to, the SEC by Somnigroup will be available free of charge on Somnigroup's website at https://somnigroup.com/investor-resources/financials/sec-filings/default.aspx. Copies of the documents filed with, or furnished to, the SEC by Leggett &amp; Platt will be available free of charge on Leggett &amp; Platt's website at https://leggett.gcs-web.com/financials/sec-filings. The information included on, or accessible through, Somnigroup's or Leggett &amp; Platt's website is not incorporated by reference into this Current Report.</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Somnigroup, Leggett &amp; Platt and certain of their respective directors and executive officers may be deemed to be participants in the solicitation of proxies with respect to the proposed transaction under the rules of the SEC. You can find information about Somnigroup's executive officers and directors in Somnigroup's definitive proxy statement filed with the SEC on March 31, 2026, under the section entitled "Proposal No. 1 — Election of Directors - Executive Officers," "Proposal No. 1 — Election of Directors - Nominees to Board of Directors," "Stock Ownership – Stock Ownership of Certain Beneficial Owners and Directors and Executive Officers," "Executive Compensation and Related Information - Compensation of Executive Officers" and "Director Compensation." You can find information about Leggett &amp; Platt's executive officers and directors in Leggett &amp; Platt's Annual Report on Form 10-K for the year ended December 31, 2025, under the sections entitled "Supplemental Item. Information About Our Executive Officers" and "Directors, Executive Officers and Corporate Governance," and in Leggett &amp; Platt's definitive proxy statement filed with the SEC on April 7, 2026, under the sections entitled "Corporate Governance and Board Matters - Director Compensation," "Proposals to be Voted On at the Annual Meeting - Proposal One: Election of Directors," "Executive Compensation and Related Matters - Compensation Discussion &amp; Analysis" and "Security Ownership - Security Ownership of Directors and Executive Officers."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ectPr>
          <w:pgSz w:w="11900" w:h="16838" w:orient="portrait"/>
          <w:cols w:equalWidth="0" w:num="1">
            <w:col w:w="11240"/>
          </w:cols>
          <w:pgMar w:left="320" w:top="76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Somnigroup International Inc.</w:t>
      </w:r>
    </w:p>
    <w:p>
      <w:pPr>
        <w:spacing w:after="0" w:line="200" w:lineRule="exact"/>
        <w:rPr>
          <w:sz w:val="20"/>
          <w:szCs w:val="20"/>
          <w:color w:val="auto"/>
        </w:rPr>
      </w:pPr>
    </w:p>
    <w:p>
      <w:pPr>
        <w:spacing w:after="0" w:line="241" w:lineRule="exact"/>
        <w:rPr>
          <w:sz w:val="20"/>
          <w:szCs w:val="20"/>
          <w:color w:val="auto"/>
        </w:rPr>
      </w:pPr>
    </w:p>
    <w:tbl>
      <w:tblPr>
        <w:tblLayout w:type="fixed"/>
        <w:tblInd w:w="5200" w:type="dxa"/>
        <w:tblCellMar>
          <w:top w:w="0" w:type="dxa"/>
          <w:left w:w="0" w:type="dxa"/>
          <w:bottom w:w="0" w:type="dxa"/>
          <w:right w:w="0" w:type="dxa"/>
        </w:tblCellMar>
      </w:tblPr>
      <w:tr>
        <w:trPr>
          <w:trHeight w:val="241"/>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Bhaskar Rao</w:t>
            </w:r>
          </w:p>
        </w:tc>
      </w:tr>
      <w:tr>
        <w:trPr>
          <w:trHeight w:val="22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Bhaskar Rao</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2026-06-04T05:24:03Z</dcterms:created>
  <dcterms:modified xsi:type="dcterms:W3CDTF">2026-06-04T05:24:03Z</dcterms:modified>
</cp:coreProperties>
</file>